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F9E99" w14:textId="032F1F13" w:rsidR="005014BA" w:rsidRPr="006144DC" w:rsidRDefault="006144DC" w:rsidP="006144DC">
      <w:pPr>
        <w:spacing w:line="288" w:lineRule="auto"/>
        <w:ind w:left="4678"/>
        <w:rPr>
          <w:sz w:val="24"/>
          <w:szCs w:val="24"/>
        </w:rPr>
      </w:pPr>
      <w:r w:rsidRPr="006144DC">
        <w:rPr>
          <w:sz w:val="24"/>
          <w:szCs w:val="24"/>
        </w:rPr>
        <w:t>Załącznik do z</w:t>
      </w:r>
      <w:r w:rsidR="005014BA" w:rsidRPr="006144DC">
        <w:rPr>
          <w:sz w:val="24"/>
          <w:szCs w:val="24"/>
        </w:rPr>
        <w:t>arządzeni</w:t>
      </w:r>
      <w:r w:rsidRPr="006144DC">
        <w:rPr>
          <w:sz w:val="24"/>
          <w:szCs w:val="24"/>
        </w:rPr>
        <w:t>a</w:t>
      </w:r>
      <w:r w:rsidR="005014BA" w:rsidRPr="006144DC">
        <w:rPr>
          <w:sz w:val="24"/>
          <w:szCs w:val="24"/>
        </w:rPr>
        <w:t xml:space="preserve"> Nr </w:t>
      </w:r>
      <w:sdt>
        <w:sdtPr>
          <w:rPr>
            <w:sz w:val="24"/>
            <w:szCs w:val="24"/>
          </w:rPr>
          <w:id w:val="-564801218"/>
          <w:placeholder>
            <w:docPart w:val="46DFC3E96A2742B8A74BD81E212BF6E0"/>
          </w:placeholder>
          <w:text/>
        </w:sdtPr>
        <w:sdtEndPr/>
        <w:sdtContent>
          <w:permStart w:id="1857123298" w:ed="UM\cienkowski_p"/>
          <w:permStart w:id="931880453" w:ed="UM\grabowiecka_b"/>
          <w:permStart w:id="894517530" w:ed="UM\pawelczyk_K"/>
          <w:permStart w:id="1622103538" w:ed="UM\dudek_g"/>
          <w:r w:rsidR="000A68D0">
            <w:rPr>
              <w:sz w:val="24"/>
              <w:szCs w:val="24"/>
            </w:rPr>
            <w:t>114</w:t>
          </w:r>
          <w:permEnd w:id="1857123298"/>
          <w:permEnd w:id="931880453"/>
          <w:permEnd w:id="894517530"/>
          <w:permEnd w:id="1622103538"/>
        </w:sdtContent>
      </w:sdt>
      <w:r w:rsidR="005014BA" w:rsidRPr="006144DC">
        <w:rPr>
          <w:sz w:val="24"/>
          <w:szCs w:val="24"/>
        </w:rPr>
        <w:br/>
        <w:t>Prezydenta Miasta</w:t>
      </w:r>
      <w:r w:rsidR="00FF46EC">
        <w:rPr>
          <w:sz w:val="24"/>
          <w:szCs w:val="24"/>
        </w:rPr>
        <w:t xml:space="preserve"> </w:t>
      </w:r>
      <w:r w:rsidR="005014BA" w:rsidRPr="006144DC">
        <w:rPr>
          <w:sz w:val="24"/>
          <w:szCs w:val="24"/>
        </w:rPr>
        <w:t>Piotrkowa Trybunalskiego</w:t>
      </w:r>
      <w:r w:rsidR="005014BA" w:rsidRPr="006144DC">
        <w:rPr>
          <w:sz w:val="24"/>
          <w:szCs w:val="24"/>
        </w:rPr>
        <w:br/>
        <w:t>z dnia</w:t>
      </w:r>
      <w:r w:rsidR="00A71B6B" w:rsidRPr="006144DC">
        <w:rPr>
          <w:sz w:val="24"/>
          <w:szCs w:val="24"/>
        </w:rPr>
        <w:t xml:space="preserve"> </w:t>
      </w:r>
      <w:bookmarkStart w:id="0" w:name="ezdDataPodpisu"/>
      <w:bookmarkEnd w:id="0"/>
      <w:r w:rsidR="00D5303E">
        <w:rPr>
          <w:sz w:val="24"/>
          <w:szCs w:val="24"/>
        </w:rPr>
        <w:t xml:space="preserve"> </w:t>
      </w:r>
      <w:r w:rsidR="00B04080">
        <w:rPr>
          <w:sz w:val="24"/>
          <w:szCs w:val="24"/>
        </w:rPr>
        <w:t xml:space="preserve">24 kwietnia 2026 </w:t>
      </w:r>
      <w:r w:rsidR="005014BA" w:rsidRPr="006144DC">
        <w:rPr>
          <w:sz w:val="24"/>
          <w:szCs w:val="24"/>
        </w:rPr>
        <w:t>roku</w:t>
      </w:r>
    </w:p>
    <w:p w14:paraId="34B6D953" w14:textId="77777777" w:rsidR="00BA13CD" w:rsidRPr="00BA13CD" w:rsidRDefault="00BA13CD" w:rsidP="00BA13CD">
      <w:pPr>
        <w:jc w:val="center"/>
        <w:rPr>
          <w:b/>
          <w:bCs/>
          <w:sz w:val="28"/>
          <w:szCs w:val="28"/>
        </w:rPr>
      </w:pPr>
    </w:p>
    <w:sdt>
      <w:sdtPr>
        <w:rPr>
          <w:rFonts w:ascii="Arial" w:hAnsi="Arial" w:cs="Arial"/>
          <w:sz w:val="24"/>
          <w:szCs w:val="24"/>
        </w:rPr>
        <w:id w:val="785394786"/>
        <w:placeholder>
          <w:docPart w:val="0BABC2FF405F44A88609AD01C89B2D81"/>
        </w:placeholder>
      </w:sdtPr>
      <w:sdtEndPr/>
      <w:sdtContent>
        <w:permStart w:id="839546535" w:edGrp="everyone" w:displacedByCustomXml="next"/>
        <w:sdt>
          <w:sdtPr>
            <w:rPr>
              <w:rFonts w:ascii="Arial" w:hAnsi="Arial" w:cs="Arial"/>
              <w:sz w:val="24"/>
              <w:szCs w:val="24"/>
            </w:rPr>
            <w:id w:val="-1163004681"/>
            <w:placeholder>
              <w:docPart w:val="78D21A1FDCB842EBB3B76473492F830C"/>
            </w:placeholder>
          </w:sdtPr>
          <w:sdtEndPr/>
          <w:sdtContent>
            <w:p w14:paraId="1369CA4F" w14:textId="45DC00A7" w:rsidR="002E441D" w:rsidRPr="00B04080" w:rsidRDefault="00B04080" w:rsidP="00B22436">
              <w:pPr>
                <w:spacing w:after="120" w:line="360" w:lineRule="auto"/>
                <w:rPr>
                  <w:rFonts w:ascii="Arial" w:hAnsi="Arial" w:cs="Arial"/>
                  <w:bCs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bCs/>
                  <w:sz w:val="24"/>
                  <w:szCs w:val="24"/>
                </w:rPr>
                <w:t>Regulamin Piotrkowskiej Strefy Aktywności Gospodarczej</w:t>
              </w:r>
            </w:p>
            <w:p w14:paraId="5C82E355" w14:textId="77777777" w:rsidR="002E441D" w:rsidRPr="00B04080" w:rsidRDefault="002E441D" w:rsidP="00B22436">
              <w:pPr>
                <w:spacing w:after="120" w:line="360" w:lineRule="auto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§ 1</w:t>
              </w:r>
            </w:p>
            <w:p w14:paraId="24581B48" w14:textId="77777777" w:rsidR="002E441D" w:rsidRPr="00B04080" w:rsidRDefault="002E441D" w:rsidP="00B22436">
              <w:pPr>
                <w:pStyle w:val="Akapitzlist"/>
                <w:numPr>
                  <w:ilvl w:val="0"/>
                  <w:numId w:val="1"/>
                </w:numPr>
                <w:spacing w:after="120" w:line="360" w:lineRule="auto"/>
                <w:ind w:left="0" w:firstLine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Piotrkowska Strefa Aktywności Gospodarczej (zwana dalej PSAG) to wyznaczone tereny inwestycyjne zlokalizowane w Piotrkowie Trybunalskim, stanowiące własność miasta lub będące w jego wieczystym użytkowaniu.</w:t>
              </w:r>
            </w:p>
            <w:p w14:paraId="631B661B" w14:textId="77777777" w:rsidR="002E441D" w:rsidRPr="00B04080" w:rsidRDefault="002E441D" w:rsidP="00B22436">
              <w:pPr>
                <w:pStyle w:val="Akapitzlist"/>
                <w:numPr>
                  <w:ilvl w:val="0"/>
                  <w:numId w:val="1"/>
                </w:numPr>
                <w:spacing w:after="120" w:line="360" w:lineRule="auto"/>
                <w:ind w:left="0" w:firstLine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W skład PSAG wchodzą następujące obszary:</w:t>
              </w:r>
            </w:p>
            <w:p w14:paraId="1A39F4E6" w14:textId="1D5C0350" w:rsidR="002E441D" w:rsidRPr="00B04080" w:rsidRDefault="002E441D" w:rsidP="00B22436">
              <w:pPr>
                <w:pStyle w:val="Akapitzlist"/>
                <w:numPr>
                  <w:ilvl w:val="0"/>
                  <w:numId w:val="2"/>
                </w:numPr>
                <w:spacing w:after="120" w:line="360" w:lineRule="auto"/>
                <w:ind w:left="0" w:firstLine="0"/>
                <w:rPr>
                  <w:rFonts w:ascii="Arial" w:hAnsi="Arial" w:cs="Arial"/>
                  <w:sz w:val="24"/>
                  <w:szCs w:val="24"/>
                </w:rPr>
              </w:pPr>
              <w:bookmarkStart w:id="1" w:name="_Hlk169170705"/>
              <w:r w:rsidRPr="00B04080">
                <w:rPr>
                  <w:rFonts w:ascii="Arial" w:hAnsi="Arial" w:cs="Arial"/>
                  <w:sz w:val="24"/>
                  <w:szCs w:val="24"/>
                </w:rPr>
                <w:t xml:space="preserve">Obszar o powierzchni 1,2619 ha, zlokalizowany przy Sulejowskiej 130, obr. 36 </w:t>
              </w:r>
              <w:r w:rsidR="000A68D0" w:rsidRPr="00B04080">
                <w:rPr>
                  <w:rFonts w:ascii="Arial" w:hAnsi="Arial" w:cs="Arial"/>
                  <w:sz w:val="24"/>
                  <w:szCs w:val="24"/>
                </w:rPr>
                <w:br/>
              </w:r>
              <w:r w:rsidRPr="00B04080">
                <w:rPr>
                  <w:rFonts w:ascii="Arial" w:hAnsi="Arial" w:cs="Arial"/>
                  <w:sz w:val="24"/>
                  <w:szCs w:val="24"/>
                </w:rPr>
                <w:t>nr działek: 380/20, 380/22, 380/18, 369/9;</w:t>
              </w:r>
            </w:p>
            <w:p w14:paraId="3C74CFB5" w14:textId="77777777" w:rsidR="002E441D" w:rsidRPr="00B04080" w:rsidRDefault="002E441D" w:rsidP="00B22436">
              <w:pPr>
                <w:pStyle w:val="Akapitzlist"/>
                <w:numPr>
                  <w:ilvl w:val="0"/>
                  <w:numId w:val="2"/>
                </w:numPr>
                <w:spacing w:after="120" w:line="360" w:lineRule="auto"/>
                <w:ind w:left="0" w:firstLine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Obszar o powierzchni 0,9509 ha, zlokalizowany przy ul. Wojska Polskiego 264, obr. 25 nr działek: 319/4, 43/2;</w:t>
              </w:r>
            </w:p>
            <w:p w14:paraId="68511669" w14:textId="77777777" w:rsidR="002E441D" w:rsidRPr="00B04080" w:rsidRDefault="002E441D" w:rsidP="00B22436">
              <w:pPr>
                <w:pStyle w:val="Akapitzlist"/>
                <w:numPr>
                  <w:ilvl w:val="0"/>
                  <w:numId w:val="2"/>
                </w:numPr>
                <w:spacing w:after="120" w:line="360" w:lineRule="auto"/>
                <w:ind w:left="0" w:firstLine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Obszar o powierzchni 2,2382 ha, zlokalizowany przy ul. Całej, obr. 4 nr działki 15/5;</w:t>
              </w:r>
            </w:p>
            <w:p w14:paraId="09D5BB2D" w14:textId="18D195B3" w:rsidR="002E441D" w:rsidRPr="00B04080" w:rsidRDefault="002E441D" w:rsidP="00B22436">
              <w:pPr>
                <w:pStyle w:val="Akapitzlist"/>
                <w:numPr>
                  <w:ilvl w:val="0"/>
                  <w:numId w:val="2"/>
                </w:numPr>
                <w:spacing w:after="120" w:line="360" w:lineRule="auto"/>
                <w:ind w:left="0" w:firstLine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Obszar o powierzchni 3,1847 ha, zlokalizowany przy ul. Sulejowskiej 132a, obr. 36 nr działek: 380/29,369/5,369/7, 318/1;</w:t>
              </w:r>
            </w:p>
            <w:p w14:paraId="677A5894" w14:textId="5763B725" w:rsidR="002E441D" w:rsidRPr="00B04080" w:rsidRDefault="002E441D" w:rsidP="00B22436">
              <w:pPr>
                <w:pStyle w:val="Akapitzlist"/>
                <w:numPr>
                  <w:ilvl w:val="0"/>
                  <w:numId w:val="2"/>
                </w:numPr>
                <w:spacing w:after="120" w:line="360" w:lineRule="auto"/>
                <w:ind w:left="0" w:firstLine="0"/>
                <w:rPr>
                  <w:rFonts w:ascii="Arial" w:hAnsi="Arial" w:cs="Arial"/>
                  <w:sz w:val="24"/>
                  <w:szCs w:val="24"/>
                </w:rPr>
              </w:pPr>
              <w:bookmarkStart w:id="2" w:name="_Hlk513456238"/>
              <w:r w:rsidRPr="00B04080">
                <w:rPr>
                  <w:rFonts w:ascii="Arial" w:hAnsi="Arial" w:cs="Arial"/>
                  <w:sz w:val="24"/>
                  <w:szCs w:val="24"/>
                </w:rPr>
                <w:t xml:space="preserve">Obszar o powierzchni ~1,6195 ha, zlokalizowany przy ul. Wierzeje, obr. 19 nr działek: 19/12, 20/21, 20/13, 20/25 oraz część działek: 20/50, 20/3, 23/23, zgodnie </w:t>
              </w:r>
              <w:r w:rsidR="000A68D0" w:rsidRPr="00B04080">
                <w:rPr>
                  <w:rFonts w:ascii="Arial" w:hAnsi="Arial" w:cs="Arial"/>
                  <w:sz w:val="24"/>
                  <w:szCs w:val="24"/>
                </w:rPr>
                <w:br/>
              </w:r>
              <w:r w:rsidRPr="00B04080">
                <w:rPr>
                  <w:rFonts w:ascii="Arial" w:hAnsi="Arial" w:cs="Arial"/>
                  <w:sz w:val="24"/>
                  <w:szCs w:val="24"/>
                </w:rPr>
                <w:t>z załącznikiem graficznym nr 2 do Uchwały Nr XLIX/618/17 Rady Miasta Piotrkowa Trybunalskiego w sprawie utworzenia Piotrkowskiej Strefy Aktywności Gospodarczej zmienionej uchwałami Nr LV/696/18 z dnia 30 maja 2018 r., Nr V/65/19 z dnia 27 lutego 2019 r., Nr XI/173/19 z dnia 25 września 2019 r. i Nr XVIII/290/20 z dnia 18 marca 2020 r.;</w:t>
              </w:r>
            </w:p>
            <w:p w14:paraId="5BA51E8C" w14:textId="3BA6723D" w:rsidR="002E441D" w:rsidRPr="00B04080" w:rsidRDefault="002E441D" w:rsidP="00B22436">
              <w:pPr>
                <w:pStyle w:val="Akapitzlist"/>
                <w:numPr>
                  <w:ilvl w:val="0"/>
                  <w:numId w:val="2"/>
                </w:numPr>
                <w:spacing w:after="120" w:line="360" w:lineRule="auto"/>
                <w:ind w:left="0" w:firstLine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Obszar o powierzchni ~1,5520 ha, zlokalizowany przy ul. Dalekiej, obr. 19 nr działek 20/53, 20/24, 20/14, 20/26, 20/16, 20/30, 20/28, 20/17 oraz część działek 20/44, 20/46, znajdująca się, zgodnie z miejscowym planem zagospodarowania przestrzennego (Uchwała Nr XIV/164/15 Rady Miasta Piotrkowa Trybunalskiego z dnia</w:t>
              </w:r>
              <w:r w:rsidR="00B22436">
                <w:rPr>
                  <w:rFonts w:ascii="Arial" w:hAnsi="Arial" w:cs="Arial"/>
                  <w:sz w:val="24"/>
                  <w:szCs w:val="24"/>
                </w:rPr>
                <w:t xml:space="preserve"> </w:t>
              </w:r>
              <w:r w:rsidRPr="00B04080">
                <w:rPr>
                  <w:rFonts w:ascii="Arial" w:hAnsi="Arial" w:cs="Arial"/>
                  <w:sz w:val="24"/>
                  <w:szCs w:val="24"/>
                </w:rPr>
                <w:t xml:space="preserve"> 23 września 2015 r. zmieniona Uchwałą Nr XXXV/429/17 Rady Miasta Piotrkowa Trybunalskiego z dnia 22 lutego 2017 r. w sprawie miejscowego planu zagospodarowania przestrzennego terenów w rejonie ulic: Sulejowskiej, Dalekiej </w:t>
              </w:r>
              <w:r w:rsidR="000A68D0" w:rsidRPr="00B04080">
                <w:rPr>
                  <w:rFonts w:ascii="Arial" w:hAnsi="Arial" w:cs="Arial"/>
                  <w:sz w:val="24"/>
                  <w:szCs w:val="24"/>
                </w:rPr>
                <w:br/>
              </w:r>
              <w:r w:rsidRPr="00B04080">
                <w:rPr>
                  <w:rFonts w:ascii="Arial" w:hAnsi="Arial" w:cs="Arial"/>
                  <w:sz w:val="24"/>
                  <w:szCs w:val="24"/>
                </w:rPr>
                <w:t>i Wierzeje w Piotrkowie Trybunalskim), w jednostce 7ZP;</w:t>
              </w:r>
            </w:p>
            <w:p w14:paraId="6891D991" w14:textId="77777777" w:rsidR="002E441D" w:rsidRPr="00B04080" w:rsidRDefault="002E441D" w:rsidP="00B22436">
              <w:pPr>
                <w:pStyle w:val="Akapitzlist"/>
                <w:numPr>
                  <w:ilvl w:val="0"/>
                  <w:numId w:val="2"/>
                </w:numPr>
                <w:spacing w:after="120" w:line="360" w:lineRule="auto"/>
                <w:ind w:left="0" w:firstLine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lastRenderedPageBreak/>
                <w:t>Obszar o powierzchni 0,5133 ha, zlokalizowany przy ul. Całej 39, obr. 4 nr działki 15/9;</w:t>
              </w:r>
            </w:p>
            <w:p w14:paraId="3E54816B" w14:textId="77777777" w:rsidR="002E441D" w:rsidRPr="00B04080" w:rsidRDefault="002E441D" w:rsidP="00B22436">
              <w:pPr>
                <w:pStyle w:val="Akapitzlist"/>
                <w:numPr>
                  <w:ilvl w:val="0"/>
                  <w:numId w:val="2"/>
                </w:numPr>
                <w:spacing w:after="120" w:line="360" w:lineRule="auto"/>
                <w:ind w:left="0" w:firstLine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Obszar o powierzchni 1,2787 ha, zlokalizowany przy ul. Miast Partnerskich/Leśników, obr. 16 nr działek: 111/1, 112/1, 113/1, 114/1, 115/1, 116/1, 117/1, 118/1, 119/1, 120/1, 132/1, 133/1.</w:t>
              </w:r>
            </w:p>
            <w:p w14:paraId="4AF5B55F" w14:textId="77777777" w:rsidR="002E441D" w:rsidRPr="00B04080" w:rsidRDefault="002E441D" w:rsidP="00B22436">
              <w:pPr>
                <w:pStyle w:val="Akapitzlist"/>
                <w:numPr>
                  <w:ilvl w:val="0"/>
                  <w:numId w:val="2"/>
                </w:numPr>
                <w:spacing w:after="120" w:line="360" w:lineRule="auto"/>
                <w:ind w:left="0" w:firstLine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Obszar o powierzchni 0,9557 ha, zlokalizowany przy ul. Rolniczej, obr. 14 nr działki 640;</w:t>
              </w:r>
            </w:p>
            <w:p w14:paraId="4F3BCCA3" w14:textId="0B33703C" w:rsidR="002E441D" w:rsidRPr="00B04080" w:rsidRDefault="002E441D" w:rsidP="00B22436">
              <w:pPr>
                <w:pStyle w:val="Akapitzlist"/>
                <w:numPr>
                  <w:ilvl w:val="0"/>
                  <w:numId w:val="2"/>
                </w:numPr>
                <w:spacing w:after="120" w:line="360" w:lineRule="auto"/>
                <w:ind w:left="0" w:firstLine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 xml:space="preserve">Obszar o powierzchni 0,1430 ha, zlokalizowany przy ul. Przemysłowej, obr. 32 </w:t>
              </w:r>
              <w:r w:rsidR="000A68D0" w:rsidRPr="00B04080">
                <w:rPr>
                  <w:rFonts w:ascii="Arial" w:hAnsi="Arial" w:cs="Arial"/>
                  <w:sz w:val="24"/>
                  <w:szCs w:val="24"/>
                </w:rPr>
                <w:br/>
              </w:r>
              <w:r w:rsidRPr="00B04080">
                <w:rPr>
                  <w:rFonts w:ascii="Arial" w:hAnsi="Arial" w:cs="Arial"/>
                  <w:sz w:val="24"/>
                  <w:szCs w:val="24"/>
                </w:rPr>
                <w:t>nr działki 17/69;</w:t>
              </w:r>
            </w:p>
            <w:p w14:paraId="7F6E4ACE" w14:textId="6196F22C" w:rsidR="000A68D0" w:rsidRPr="00B04080" w:rsidRDefault="002E441D" w:rsidP="00B22436">
              <w:pPr>
                <w:pStyle w:val="Akapitzlist"/>
                <w:numPr>
                  <w:ilvl w:val="0"/>
                  <w:numId w:val="2"/>
                </w:numPr>
                <w:spacing w:before="120" w:after="120" w:line="360" w:lineRule="auto"/>
                <w:ind w:left="0" w:firstLine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Obszar o powierzchni 0,9747 ha, zlokalizowany przy ul. Dalekiej – ul. Wierzeje, obr. 19 działki nr 411 i 412.</w:t>
              </w:r>
              <w:bookmarkEnd w:id="1"/>
            </w:p>
            <w:p w14:paraId="0223F35E" w14:textId="4F656205" w:rsidR="002E441D" w:rsidRPr="00B04080" w:rsidRDefault="002E441D" w:rsidP="00B22436">
              <w:pPr>
                <w:spacing w:after="120" w:line="360" w:lineRule="auto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§ 2</w:t>
              </w:r>
            </w:p>
            <w:bookmarkEnd w:id="2"/>
            <w:p w14:paraId="71F50BB4" w14:textId="76D560EA" w:rsidR="002E441D" w:rsidRPr="00B04080" w:rsidRDefault="002E441D" w:rsidP="00B22436">
              <w:pPr>
                <w:pStyle w:val="Akapitzlist"/>
                <w:spacing w:after="120" w:line="360" w:lineRule="auto"/>
                <w:ind w:left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Celem utworzenia Piotrkowskiej Strefy Aktywności Gospodarczej jest aktywizacja gospodarcza Piotrkowa Trybunalskiego, podniesienie atrakcyjności i konkurencyjności inwestycyjnej miasta oraz powstanie nowych miejsc pracy.</w:t>
              </w:r>
            </w:p>
            <w:p w14:paraId="60CEF0F3" w14:textId="77777777" w:rsidR="002E441D" w:rsidRPr="00B04080" w:rsidRDefault="002E441D" w:rsidP="00B22436">
              <w:pPr>
                <w:spacing w:after="120" w:line="360" w:lineRule="auto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§ 3</w:t>
              </w:r>
            </w:p>
            <w:p w14:paraId="7DFE7E27" w14:textId="7B7967B2" w:rsidR="002E441D" w:rsidRPr="00B04080" w:rsidRDefault="002E441D" w:rsidP="00B22436">
              <w:pPr>
                <w:pStyle w:val="Akapitzlist"/>
                <w:numPr>
                  <w:ilvl w:val="0"/>
                  <w:numId w:val="3"/>
                </w:numPr>
                <w:spacing w:after="120" w:line="360" w:lineRule="auto"/>
                <w:ind w:left="0" w:firstLine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Na terenach Piotrkowskiej Strefy Aktywności Gospodarczej dopuszcza się działalność produkcyjną, usługową oraz handel jako działalność towarzyszącą działalności podstawowej realizowanej na dzierżawionej nieruchomości. Wyjątek stanowi branża motoryzacyjna i maszynowa, dla których dopuszcza się handel jako działalność podstawową.</w:t>
              </w:r>
            </w:p>
            <w:p w14:paraId="273AA33E" w14:textId="7B8C1A30" w:rsidR="002E441D" w:rsidRPr="00B04080" w:rsidRDefault="002E441D" w:rsidP="00B22436">
              <w:pPr>
                <w:pStyle w:val="Akapitzlist"/>
                <w:numPr>
                  <w:ilvl w:val="0"/>
                  <w:numId w:val="3"/>
                </w:numPr>
                <w:spacing w:after="120" w:line="360" w:lineRule="auto"/>
                <w:ind w:left="0" w:firstLine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Wyklucza się lokalizację usług polegających na składowaniu, magazynowaniu, przetwarzaniu i obrocie handlowym kopalinami, kruszywami budowlanymi, ziemią, węglem opałowym we wszystkich postaciach, wszelkich odpadów w rozumieniu przepisów szczególnych oraz lokalizację stacji demontażu pojazdów i obrót materiałami wtórnymi i odpadowymi.</w:t>
              </w:r>
            </w:p>
            <w:p w14:paraId="0F954BC8" w14:textId="77777777" w:rsidR="002E441D" w:rsidRPr="00B04080" w:rsidRDefault="002E441D" w:rsidP="00B22436">
              <w:pPr>
                <w:pStyle w:val="Akapitzlist"/>
                <w:numPr>
                  <w:ilvl w:val="0"/>
                  <w:numId w:val="1"/>
                </w:numPr>
                <w:spacing w:after="120" w:line="360" w:lineRule="auto"/>
                <w:ind w:left="0" w:firstLine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W zakresie lokalizacji tablic informacyjnych oraz reklam i nośników reklamowych obowiązuje:</w:t>
              </w:r>
            </w:p>
            <w:p w14:paraId="6D88EB5B" w14:textId="77777777" w:rsidR="002E441D" w:rsidRPr="00B04080" w:rsidRDefault="002E441D" w:rsidP="00B22436">
              <w:pPr>
                <w:pStyle w:val="Akapitzlist"/>
                <w:spacing w:after="120" w:line="360" w:lineRule="auto"/>
                <w:ind w:left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-  zakaz umieszczania tablic informacyjnych oraz reklam i nośników reklamowych niezwiązanych z prowadzoną na terenie dzierżawionej nieruchomości działalnością gospodarczą,</w:t>
              </w:r>
            </w:p>
            <w:p w14:paraId="4F1E8251" w14:textId="72F3F687" w:rsidR="002E441D" w:rsidRPr="00B04080" w:rsidRDefault="002E441D" w:rsidP="00B22436">
              <w:pPr>
                <w:pStyle w:val="Akapitzlist"/>
                <w:spacing w:after="120" w:line="360" w:lineRule="auto"/>
                <w:ind w:left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 xml:space="preserve">- maksymalna, łączna powierzchnia tablic informacyjnych i reklam lokalizowanych </w:t>
              </w:r>
              <w:r w:rsidR="000A68D0" w:rsidRPr="00B04080">
                <w:rPr>
                  <w:rFonts w:ascii="Arial" w:hAnsi="Arial" w:cs="Arial"/>
                  <w:sz w:val="24"/>
                  <w:szCs w:val="24"/>
                </w:rPr>
                <w:br/>
              </w:r>
              <w:r w:rsidRPr="00B04080">
                <w:rPr>
                  <w:rFonts w:ascii="Arial" w:hAnsi="Arial" w:cs="Arial"/>
                  <w:sz w:val="24"/>
                  <w:szCs w:val="24"/>
                </w:rPr>
                <w:t>na nieruchomości nie może przekroczyć 15 m</w:t>
              </w:r>
              <w:r w:rsidRPr="00B04080">
                <w:rPr>
                  <w:rFonts w:ascii="Arial" w:hAnsi="Arial" w:cs="Arial"/>
                  <w:sz w:val="24"/>
                  <w:szCs w:val="24"/>
                  <w:vertAlign w:val="superscript"/>
                </w:rPr>
                <w:t>2</w:t>
              </w:r>
              <w:r w:rsidRPr="00B04080">
                <w:rPr>
                  <w:rFonts w:ascii="Arial" w:hAnsi="Arial" w:cs="Arial"/>
                  <w:sz w:val="24"/>
                  <w:szCs w:val="24"/>
                </w:rPr>
                <w:t>.</w:t>
              </w:r>
            </w:p>
            <w:p w14:paraId="607A33BE" w14:textId="77777777" w:rsidR="002E441D" w:rsidRPr="00B04080" w:rsidRDefault="002E441D" w:rsidP="00B22436">
              <w:pPr>
                <w:spacing w:after="120" w:line="360" w:lineRule="auto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lastRenderedPageBreak/>
                <w:t>§ 4</w:t>
              </w:r>
            </w:p>
            <w:p w14:paraId="2165B468" w14:textId="48D58D76" w:rsidR="002E441D" w:rsidRPr="00B04080" w:rsidRDefault="002E441D" w:rsidP="00B22436">
              <w:pPr>
                <w:pStyle w:val="Akapitzlist"/>
                <w:spacing w:after="120" w:line="360" w:lineRule="auto"/>
                <w:ind w:left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Tereny Piotrkowskiej Strefy Aktywności Gospodarczej są oddawane w dzierżawę na 10 lat, w trybie pisemnego przetargu nieograniczonego, zgodnie z przepisami ustawy z dnia 21 sierpnia 1997 r. o gospodarce nieruchomościami.</w:t>
              </w:r>
            </w:p>
            <w:p w14:paraId="55C6B666" w14:textId="77777777" w:rsidR="002E441D" w:rsidRPr="00B04080" w:rsidRDefault="002E441D" w:rsidP="00B22436">
              <w:pPr>
                <w:pStyle w:val="Akapitzlist"/>
                <w:spacing w:after="120" w:line="360" w:lineRule="auto"/>
                <w:ind w:left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§ 5</w:t>
              </w:r>
            </w:p>
            <w:p w14:paraId="43503EDF" w14:textId="77777777" w:rsidR="002E441D" w:rsidRPr="00B04080" w:rsidRDefault="002E441D" w:rsidP="00B22436">
              <w:pPr>
                <w:pStyle w:val="Akapitzlist"/>
                <w:numPr>
                  <w:ilvl w:val="0"/>
                  <w:numId w:val="4"/>
                </w:numPr>
                <w:spacing w:after="120" w:line="360" w:lineRule="auto"/>
                <w:ind w:left="0" w:firstLine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Podmioty gospodarcze mogą dzierżawić nieruchomości objęte PSAG na okres 10 lat, na warunkach określonych w umowie dzierżawy zawartej z Miastem Piotrków Trybunalski.</w:t>
              </w:r>
            </w:p>
            <w:p w14:paraId="7888C65A" w14:textId="77777777" w:rsidR="002E441D" w:rsidRPr="00B04080" w:rsidRDefault="002E441D" w:rsidP="00B22436">
              <w:pPr>
                <w:pStyle w:val="Akapitzlist"/>
                <w:numPr>
                  <w:ilvl w:val="0"/>
                  <w:numId w:val="4"/>
                </w:numPr>
                <w:spacing w:after="120" w:line="360" w:lineRule="auto"/>
                <w:ind w:left="0" w:firstLine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Umowa dzierżawy, o której mowa w ust. 1 zobowiązywać będzie podmiot, z którym jest zawierana do:</w:t>
              </w:r>
            </w:p>
            <w:p w14:paraId="322E66A1" w14:textId="77777777" w:rsidR="002E441D" w:rsidRPr="00B04080" w:rsidRDefault="002E441D" w:rsidP="00B22436">
              <w:pPr>
                <w:pStyle w:val="Akapitzlist"/>
                <w:numPr>
                  <w:ilvl w:val="0"/>
                  <w:numId w:val="5"/>
                </w:numPr>
                <w:spacing w:after="120" w:line="360" w:lineRule="auto"/>
                <w:ind w:left="0" w:firstLine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 xml:space="preserve">uzyskania w terminie 18 miesięcy od jej podpisania, wymaganych ustawowo pozwoleń lub dokonania zgłoszenia właściwemu organowi administracji architektoniczno-budowlanej na budowę obiektu/ obiektów budowlanych. </w:t>
              </w:r>
            </w:p>
            <w:p w14:paraId="3923F2C0" w14:textId="77777777" w:rsidR="002E441D" w:rsidRPr="00B04080" w:rsidRDefault="002E441D" w:rsidP="00B22436">
              <w:pPr>
                <w:spacing w:after="120" w:line="360" w:lineRule="auto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Niespełnienie ww. warunków z winy Dzierżawcy, skutkować będzie podwyższeniem czynszu dzierżawnego o 100%, naliczanego zgodnie z dotychczasową umową (kwota netto + podatek VAT). Podwyższona stawka czynszu obowiązywać będzie do czasu uzyskania wymaganych wyżej dokumentów.</w:t>
              </w:r>
            </w:p>
            <w:p w14:paraId="3324756F" w14:textId="77777777" w:rsidR="002E441D" w:rsidRPr="00B04080" w:rsidRDefault="002E441D" w:rsidP="00B22436">
              <w:pPr>
                <w:pStyle w:val="Akapitzlist"/>
                <w:numPr>
                  <w:ilvl w:val="0"/>
                  <w:numId w:val="5"/>
                </w:numPr>
                <w:spacing w:after="120" w:line="360" w:lineRule="auto"/>
                <w:ind w:left="0" w:firstLine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zabudowania w terminie 3 lat od daty podpisania umowy dzierżawy dzierżawionej nieruchomości obiektem/obiektami  budowlanymi, przeznaczonymi do prowadzenia działalności, która określona zostanie w umowie dzierżawy. Zabudowanie nieruchomości musi nastąpić zgodnie z obowiązującymi przepisami prawa na podstawie uzyskanych przez Dzierżawcę niezbędnych pozwoleń i uzgodnień.</w:t>
              </w:r>
            </w:p>
            <w:p w14:paraId="18B9FA52" w14:textId="09568CE1" w:rsidR="002E441D" w:rsidRPr="00B04080" w:rsidRDefault="002E441D" w:rsidP="00B22436">
              <w:pPr>
                <w:spacing w:after="120" w:line="360" w:lineRule="auto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W przypadku niezabudowania przez Dzierżawcę nieruchomości obiektami budowlanymi w wyżej wymienionym okresie, umowa dzierżawy będzie podlegać rozwiązaniu za 1 miesięcznym okresem wypowiedzenia.</w:t>
              </w:r>
            </w:p>
            <w:p w14:paraId="31C4CAD8" w14:textId="77777777" w:rsidR="002E441D" w:rsidRPr="00B04080" w:rsidRDefault="002E441D" w:rsidP="00B22436">
              <w:pPr>
                <w:pStyle w:val="Akapitzlist"/>
                <w:numPr>
                  <w:ilvl w:val="0"/>
                  <w:numId w:val="5"/>
                </w:numPr>
                <w:spacing w:after="120" w:line="360" w:lineRule="auto"/>
                <w:ind w:left="0" w:firstLine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 xml:space="preserve">rozpoczęcia w terminie 3 lat od daty podpisania umowy dzierżawy działalności określonej w umowie dzierżawy (zgodnej z celem dzierżawy).  </w:t>
              </w:r>
            </w:p>
            <w:p w14:paraId="65A69D01" w14:textId="77777777" w:rsidR="002E441D" w:rsidRPr="00B04080" w:rsidRDefault="002E441D" w:rsidP="00B22436">
              <w:pPr>
                <w:spacing w:after="120" w:line="360" w:lineRule="auto"/>
                <w:rPr>
                  <w:rFonts w:ascii="Arial" w:hAnsi="Arial" w:cs="Arial"/>
                  <w:b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 xml:space="preserve">W przypadku, gdy Dzierżawca nie rozpocznie, w ww. terminie  prowadzenia na przedmiocie dzierżawy działalności zgodnej z celem dzierżawy określonym w umowie, umowa dzierżawy będzie podlegać rozwiązaniu za 1- miesięcznym okresem </w:t>
              </w:r>
              <w:r w:rsidRPr="00B04080">
                <w:rPr>
                  <w:rFonts w:ascii="Arial" w:hAnsi="Arial" w:cs="Arial"/>
                  <w:sz w:val="24"/>
                  <w:szCs w:val="24"/>
                </w:rPr>
                <w:lastRenderedPageBreak/>
                <w:t>wypowiedzenia a Dzierżawcy nie przysługuje zwrot kaucji oraz zwrot za nakłady poczynione na przedmiocie dzierżawy.</w:t>
              </w:r>
            </w:p>
            <w:p w14:paraId="5367EBF7" w14:textId="604B5997" w:rsidR="002E441D" w:rsidRPr="00B04080" w:rsidRDefault="002E441D" w:rsidP="00B22436">
              <w:pPr>
                <w:pStyle w:val="Akapitzlist"/>
                <w:numPr>
                  <w:ilvl w:val="0"/>
                  <w:numId w:val="5"/>
                </w:numPr>
                <w:spacing w:after="120" w:line="360" w:lineRule="auto"/>
                <w:ind w:left="0" w:firstLine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 xml:space="preserve">Terminy określone w niniejszym § mogą zostać przedłużone o maksymalnie </w:t>
              </w:r>
              <w:r w:rsidR="000A68D0" w:rsidRPr="00B04080">
                <w:rPr>
                  <w:rFonts w:ascii="Arial" w:hAnsi="Arial" w:cs="Arial"/>
                  <w:sz w:val="24"/>
                  <w:szCs w:val="24"/>
                </w:rPr>
                <w:br/>
              </w:r>
              <w:r w:rsidRPr="00B04080">
                <w:rPr>
                  <w:rFonts w:ascii="Arial" w:hAnsi="Arial" w:cs="Arial"/>
                  <w:sz w:val="24"/>
                  <w:szCs w:val="24"/>
                </w:rPr>
                <w:t>12 miesięcy w przypadku zaistnienia szczególnych okoliczności niezależnych od Dzierżawcy (np. działania siły wyższej).</w:t>
              </w:r>
            </w:p>
            <w:p w14:paraId="54D43E71" w14:textId="77777777" w:rsidR="002E441D" w:rsidRPr="00B04080" w:rsidRDefault="002E441D" w:rsidP="00B22436">
              <w:pPr>
                <w:pStyle w:val="Akapitzlist"/>
                <w:spacing w:after="120" w:line="360" w:lineRule="auto"/>
                <w:ind w:left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§ 6</w:t>
              </w:r>
            </w:p>
            <w:p w14:paraId="6D6C5B7A" w14:textId="77777777" w:rsidR="002E441D" w:rsidRPr="00B04080" w:rsidRDefault="002E441D" w:rsidP="00B22436">
              <w:pPr>
                <w:pStyle w:val="Akapitzlist"/>
                <w:numPr>
                  <w:ilvl w:val="0"/>
                  <w:numId w:val="6"/>
                </w:numPr>
                <w:spacing w:after="120" w:line="360" w:lineRule="auto"/>
                <w:ind w:left="0" w:firstLine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 xml:space="preserve">Minimalna liczba nowoutworzonych miejsc pracy przez każdego z przedsiębiorców dla każdego z obszarów PSAG wynosi 3 pełne etaty, utworzone w ciągu 3 lat od daty podpisania umowy dzierżawy wraz  z obowiązkiem ich utrzymania przez okres co najmniej 36 miesięcy.  </w:t>
              </w:r>
            </w:p>
            <w:p w14:paraId="70FE3CC5" w14:textId="77777777" w:rsidR="002E441D" w:rsidRPr="00B04080" w:rsidRDefault="002E441D" w:rsidP="00B22436">
              <w:pPr>
                <w:spacing w:after="120" w:line="360" w:lineRule="auto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Warunek utworzenia nowych miejsc pracy (przyrost netto miejsc pracy) uważa się za spełniony, jeżeli nastąpi wzrost liczby osób zatrudnionych na umowę o pracę, w przeliczeniu na pełne etaty, w danym przedsiębiorstwie.</w:t>
              </w:r>
            </w:p>
            <w:p w14:paraId="646E4FAB" w14:textId="77777777" w:rsidR="002E441D" w:rsidRPr="00B04080" w:rsidRDefault="002E441D" w:rsidP="00B22436">
              <w:pPr>
                <w:pStyle w:val="Akapitzlist"/>
                <w:numPr>
                  <w:ilvl w:val="0"/>
                  <w:numId w:val="6"/>
                </w:numPr>
                <w:tabs>
                  <w:tab w:val="left" w:pos="540"/>
                  <w:tab w:val="left" w:pos="720"/>
                </w:tabs>
                <w:spacing w:line="360" w:lineRule="auto"/>
                <w:ind w:left="0" w:firstLine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Podmiot, z którym zawierana jest umowa dzierżawy terenu, w dniu podpisania umowy składa oświadczenie informujące o stanie zatrudnienia na podstawie zawartych umów o pracę. Oświadczenie to będzie podstawą do wyliczenia ilości nowoutworzonych miejsc pracy.</w:t>
              </w:r>
            </w:p>
            <w:p w14:paraId="6E1B7C7B" w14:textId="56117A24" w:rsidR="002E441D" w:rsidRPr="00B04080" w:rsidRDefault="002E441D" w:rsidP="00B22436">
              <w:pPr>
                <w:pStyle w:val="Akapitzlist"/>
                <w:numPr>
                  <w:ilvl w:val="0"/>
                  <w:numId w:val="6"/>
                </w:numPr>
                <w:spacing w:after="120" w:line="360" w:lineRule="auto"/>
                <w:ind w:left="0" w:firstLine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Po utworzeniu każdego nowego miejsca pracy, przedsiębiorca złoży Wydzierżawiającemu oświadczenie o jego utworzeniu, w terminie 7 dni od daty zatrudnienia nowego pracownika.</w:t>
              </w:r>
            </w:p>
            <w:p w14:paraId="2F8360D0" w14:textId="77777777" w:rsidR="002E441D" w:rsidRPr="00B04080" w:rsidRDefault="002E441D" w:rsidP="00B22436">
              <w:pPr>
                <w:pStyle w:val="Akapitzlist"/>
                <w:spacing w:after="120" w:line="360" w:lineRule="auto"/>
                <w:ind w:left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§ 7</w:t>
              </w:r>
            </w:p>
            <w:p w14:paraId="6C718E06" w14:textId="58673BAD" w:rsidR="002E441D" w:rsidRPr="00B04080" w:rsidRDefault="002E441D" w:rsidP="00B22436">
              <w:pPr>
                <w:spacing w:after="120" w:line="360" w:lineRule="auto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Obowiązuje zakaz przenoszenia dotychczas prowadzonej działalności w granicach administracyjnych Piotrkowa Trybunalskiego do PSAG, z wyłączeniem przypadku, kiedy przeniesienie spowodowane jest planowanym rozwojem firmy, prowadzącym do zwiększenia produkcji czy rozszerzenia działalności usługowej, a liczba miejsc pracy netto zwiększy się, o ilość określoną w umowie dzierżawy.</w:t>
              </w:r>
            </w:p>
            <w:p w14:paraId="5B625D5C" w14:textId="77777777" w:rsidR="002E441D" w:rsidRPr="00B04080" w:rsidRDefault="002E441D" w:rsidP="00B22436">
              <w:pPr>
                <w:pStyle w:val="Akapitzlist"/>
                <w:spacing w:after="120" w:line="360" w:lineRule="auto"/>
                <w:ind w:left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§ 8</w:t>
              </w:r>
            </w:p>
            <w:p w14:paraId="2D3E30F5" w14:textId="26177853" w:rsidR="002E441D" w:rsidRPr="00B04080" w:rsidRDefault="002E441D" w:rsidP="00B22436">
              <w:pPr>
                <w:spacing w:after="120" w:line="360" w:lineRule="auto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Dzierżawca wyraża zgodę na przeprowadzanie przez Wydzierżawiającego kontroli sposobu realizacji warunków i celów umowy. W przypadku niepoddania się kontroli przez Dzierżawcę w wyznaczonym okresie, umowa dzierżawy będzie podlegać rozwiązaniu z 1-miesięcznym okresem wypowiedzenia.</w:t>
              </w:r>
            </w:p>
            <w:p w14:paraId="5D2C5EE5" w14:textId="77777777" w:rsidR="00B22436" w:rsidRDefault="00B22436" w:rsidP="00B22436">
              <w:pPr>
                <w:pStyle w:val="Akapitzlist"/>
                <w:spacing w:after="120" w:line="360" w:lineRule="auto"/>
                <w:ind w:left="0"/>
                <w:rPr>
                  <w:rFonts w:ascii="Arial" w:hAnsi="Arial" w:cs="Arial"/>
                  <w:sz w:val="24"/>
                  <w:szCs w:val="24"/>
                </w:rPr>
              </w:pPr>
            </w:p>
            <w:p w14:paraId="45E8EF76" w14:textId="0B692E92" w:rsidR="002E441D" w:rsidRPr="00B04080" w:rsidRDefault="002E441D" w:rsidP="00B22436">
              <w:pPr>
                <w:pStyle w:val="Akapitzlist"/>
                <w:spacing w:after="120" w:line="360" w:lineRule="auto"/>
                <w:ind w:left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lastRenderedPageBreak/>
                <w:t>§ 9</w:t>
              </w:r>
            </w:p>
            <w:p w14:paraId="7EE56CA6" w14:textId="07EB04C7" w:rsidR="00B04080" w:rsidRDefault="002E441D" w:rsidP="00B22436">
              <w:pPr>
                <w:spacing w:after="120" w:line="360" w:lineRule="auto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Wywoławcza stawka czynszu miesięcznego za dzierżawę gruntu w Piotrkowskiej Strefie Aktywności Gospodarczej wynosi 0,20 zł (netto) za 1 m</w:t>
              </w:r>
              <w:r w:rsidRPr="00B04080">
                <w:rPr>
                  <w:rFonts w:ascii="Arial" w:hAnsi="Arial" w:cs="Arial"/>
                  <w:sz w:val="24"/>
                  <w:szCs w:val="24"/>
                  <w:vertAlign w:val="superscript"/>
                </w:rPr>
                <w:t>2</w:t>
              </w:r>
              <w:r w:rsidRPr="00B04080">
                <w:rPr>
                  <w:rFonts w:ascii="Arial" w:hAnsi="Arial" w:cs="Arial"/>
                  <w:sz w:val="24"/>
                  <w:szCs w:val="24"/>
                </w:rPr>
                <w:t xml:space="preserve"> powierzchni gruntu. Do kwoty czynszu Wydzierżawiający doliczy podatek VAT według obowiązującej stawki. Czynsz dzierżawny osiągnięty w wyniku przetargu i określony w umowie dzierżawy będzie aktualizowany w IV kwartale każdego roku kalendarzowego z mocą obowiązującą od 1 stycznia następnego roku - według wskaźnika wzrostu cen towarów i usług konsumpcyjnych za trzy kwartały w stosunku do analogicznego okresu roku poprzedniego, ogłoszonego przez Prezesa Głównego Urzędu Statystycznego na</w:t>
              </w:r>
              <w:r w:rsidR="00B04080">
                <w:rPr>
                  <w:rFonts w:ascii="Arial" w:hAnsi="Arial" w:cs="Arial"/>
                  <w:sz w:val="24"/>
                  <w:szCs w:val="24"/>
                </w:rPr>
                <w:t xml:space="preserve"> dzień 30 września danego roku.</w:t>
              </w:r>
            </w:p>
            <w:p w14:paraId="114250C8" w14:textId="22D58CDC" w:rsidR="002E441D" w:rsidRPr="00B04080" w:rsidRDefault="002E441D" w:rsidP="00B22436">
              <w:pPr>
                <w:spacing w:after="120" w:line="360" w:lineRule="auto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§ 10</w:t>
              </w:r>
            </w:p>
            <w:p w14:paraId="3821B96F" w14:textId="77777777" w:rsidR="002E441D" w:rsidRPr="00B04080" w:rsidRDefault="002E441D" w:rsidP="00B22436">
              <w:pPr>
                <w:spacing w:after="120" w:line="360" w:lineRule="auto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 xml:space="preserve">Dzierżawca zobowiązany jest uiszczać podatki i inne ciężary związane z posiadaniem przedmiotu dzierżawy. </w:t>
              </w:r>
            </w:p>
            <w:p w14:paraId="00D3BAAF" w14:textId="77777777" w:rsidR="002E441D" w:rsidRPr="00B04080" w:rsidRDefault="002E441D" w:rsidP="00B22436">
              <w:pPr>
                <w:spacing w:after="120" w:line="360" w:lineRule="auto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Zwolnienia lub ulgi z podatku od nieruchomości mają zastosowanie na zasadach ogólnych, zgodnie z obowiązującymi uchwałami Rady Miasta Piotrkowa Trybunalskiego.</w:t>
              </w:r>
            </w:p>
            <w:p w14:paraId="7B1B30F6" w14:textId="77777777" w:rsidR="002E441D" w:rsidRPr="00B04080" w:rsidRDefault="002E441D" w:rsidP="00B22436">
              <w:pPr>
                <w:spacing w:after="120" w:line="360" w:lineRule="auto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§ 11</w:t>
              </w:r>
            </w:p>
            <w:p w14:paraId="5D3256A2" w14:textId="77777777" w:rsidR="002E441D" w:rsidRPr="00B04080" w:rsidRDefault="002E441D" w:rsidP="00B22436">
              <w:pPr>
                <w:numPr>
                  <w:ilvl w:val="0"/>
                  <w:numId w:val="7"/>
                </w:numPr>
                <w:spacing w:after="0" w:line="360" w:lineRule="auto"/>
                <w:ind w:left="0" w:firstLine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Bez zgody Wydzierżawiającego, Dzierżawca nie może oddać przedmiotu dzierżawy osobie trzeciej do bezpłatnego używania ani go poddzierżawiać. Zastrzeżenie powyższe dotyczy także zawierania innych umów, przedmiotem których byłaby wydzierżawiona nieruchomość.</w:t>
              </w:r>
            </w:p>
            <w:p w14:paraId="6F327C0F" w14:textId="5E230754" w:rsidR="002E441D" w:rsidRPr="00B04080" w:rsidRDefault="002E441D" w:rsidP="00B22436">
              <w:pPr>
                <w:pStyle w:val="Akapitzlist"/>
                <w:numPr>
                  <w:ilvl w:val="0"/>
                  <w:numId w:val="7"/>
                </w:numPr>
                <w:tabs>
                  <w:tab w:val="left" w:pos="284"/>
                </w:tabs>
                <w:suppressAutoHyphens/>
                <w:spacing w:line="360" w:lineRule="auto"/>
                <w:ind w:left="0" w:firstLine="0"/>
                <w:rPr>
                  <w:rFonts w:ascii="Arial" w:hAnsi="Arial" w:cs="Arial"/>
                  <w:spacing w:val="-3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pacing w:val="-3"/>
                  <w:sz w:val="24"/>
                  <w:szCs w:val="24"/>
                </w:rPr>
                <w:t>Bez zgody Wydzierżawiającego Dzierżawca nie ma prawa przelewać ani w części ani w całości swych uprawnień wynikających z niniejszej umowy na rzecz osób trzecich tak fizycznych, jak i prawnych.</w:t>
              </w:r>
            </w:p>
            <w:p w14:paraId="7ECE4B46" w14:textId="00DD14D6" w:rsidR="002E441D" w:rsidRPr="00B04080" w:rsidRDefault="002E441D" w:rsidP="00B22436">
              <w:pPr>
                <w:numPr>
                  <w:ilvl w:val="0"/>
                  <w:numId w:val="7"/>
                </w:numPr>
                <w:spacing w:after="0" w:line="360" w:lineRule="auto"/>
                <w:ind w:left="0" w:firstLine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Jakakolwiek umowa określona w ust. 1 niniejszego paragrafu zawierana z osobami trzecimi w odniesieniu do której Wydzierżawiający wyraził zgodę, o której mowa w ust. 1, nie może być zawarta na okres dłuższy niż okres, na który zawarto umowę dzierżawy.</w:t>
              </w:r>
            </w:p>
            <w:p w14:paraId="4B2AB823" w14:textId="3C74F7C3" w:rsidR="002E441D" w:rsidRPr="00B04080" w:rsidRDefault="002E441D" w:rsidP="00B22436">
              <w:pPr>
                <w:numPr>
                  <w:ilvl w:val="0"/>
                  <w:numId w:val="7"/>
                </w:numPr>
                <w:spacing w:after="0" w:line="360" w:lineRule="auto"/>
                <w:ind w:left="0" w:firstLine="0"/>
                <w:rPr>
                  <w:rFonts w:ascii="Arial" w:hAnsi="Arial" w:cs="Arial"/>
                  <w:b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 xml:space="preserve">Cel na jaki przedmiot dzierżawy będzie przez Dzierżawcę oddany do bezpłatnego używania, poddzierżawiany lub udostępniany w jakiejkolwiek innej </w:t>
              </w:r>
              <w:r w:rsidRPr="00B04080">
                <w:rPr>
                  <w:rFonts w:ascii="Arial" w:hAnsi="Arial" w:cs="Arial"/>
                  <w:sz w:val="24"/>
                  <w:szCs w:val="24"/>
                </w:rPr>
                <w:lastRenderedPageBreak/>
                <w:t>formie musi być tożsamy z rodzajem działalności określonym w umowie dzierżawy (celem dzierżawy).</w:t>
              </w:r>
            </w:p>
            <w:p w14:paraId="40E6EC5C" w14:textId="5038CCC8" w:rsidR="002E441D" w:rsidRPr="00B04080" w:rsidRDefault="002E441D" w:rsidP="00B22436">
              <w:pPr>
                <w:pStyle w:val="Akapitzlist"/>
                <w:numPr>
                  <w:ilvl w:val="0"/>
                  <w:numId w:val="7"/>
                </w:numPr>
                <w:spacing w:after="0" w:line="360" w:lineRule="auto"/>
                <w:ind w:left="0" w:firstLine="0"/>
                <w:rPr>
                  <w:rFonts w:ascii="Arial" w:hAnsi="Arial" w:cs="Arial"/>
                  <w:b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W przypadku uzyskania zgody Wydzierżawiającego na zawarcie umów określonych w niniejszym paragrafie, czynsz za dzierżawę podlega dodatkowemu podwyższeniu o 30% w stosunku do czynszu wynikającego z umowy.</w:t>
              </w:r>
            </w:p>
            <w:p w14:paraId="6B4B187D" w14:textId="22EB76D2" w:rsidR="002E441D" w:rsidRPr="00B04080" w:rsidRDefault="002E441D" w:rsidP="00B22436">
              <w:pPr>
                <w:numPr>
                  <w:ilvl w:val="0"/>
                  <w:numId w:val="7"/>
                </w:numPr>
                <w:spacing w:after="0" w:line="360" w:lineRule="auto"/>
                <w:ind w:left="0" w:firstLine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Podwyższenie czynszu, o którym mowa w ust. 5, nie stanowi zmiany umowy i nie wymaga formy pisemnej aneksu do umowy. O podwyższeniu czynszu Dzierżawca zostanie poinformowany w formie jednostronnego pisemnego oświadczenia Wydzierżawiającego.</w:t>
              </w:r>
            </w:p>
            <w:p w14:paraId="3AF75318" w14:textId="77777777" w:rsidR="002E441D" w:rsidRPr="00B04080" w:rsidRDefault="002E441D" w:rsidP="00B22436">
              <w:pPr>
                <w:spacing w:after="120" w:line="360" w:lineRule="auto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§ 12</w:t>
              </w:r>
            </w:p>
            <w:p w14:paraId="3D3B97E9" w14:textId="77777777" w:rsidR="002E441D" w:rsidRPr="00B04080" w:rsidRDefault="002E441D" w:rsidP="00B22436">
              <w:pPr>
                <w:spacing w:after="120" w:line="360" w:lineRule="auto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W przypadku oddania przedmiotu dzierżawy osobie trzeciej do bezpłatnego używania lub jego poddzierżawienia bez zgody Wydzierżawiającego, lub prowadzenia na przedmiocie dzierżawy działalności innej niż wynikająca z umowy dzierżawy, dzierżawca traci prawo do stawki czynszu dzierżawnego wynikającej z umowy dzierżawy, a czynsz zostanie naliczony według stawek rynkowych określonych przez rzeczoznawcę majątkowego.</w:t>
              </w:r>
            </w:p>
            <w:p w14:paraId="323F9778" w14:textId="77777777" w:rsidR="002E441D" w:rsidRPr="00B04080" w:rsidRDefault="002E441D" w:rsidP="00B22436">
              <w:pPr>
                <w:spacing w:after="120" w:line="360" w:lineRule="auto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§ 13</w:t>
              </w:r>
            </w:p>
            <w:p w14:paraId="4CA2978E" w14:textId="77777777" w:rsidR="002E441D" w:rsidRPr="00B04080" w:rsidRDefault="002E441D" w:rsidP="00B22436">
              <w:pPr>
                <w:spacing w:after="120" w:line="360" w:lineRule="auto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Umowa dzierżawy ulega rozwiązaniu z przyczyn leżących po stronie Dzierżawcy:</w:t>
              </w:r>
            </w:p>
            <w:p w14:paraId="149D0EEF" w14:textId="2E14F6BD" w:rsidR="002E441D" w:rsidRPr="00B04080" w:rsidRDefault="002E441D" w:rsidP="00B22436">
              <w:pPr>
                <w:pStyle w:val="Akapitzlist"/>
                <w:numPr>
                  <w:ilvl w:val="0"/>
                  <w:numId w:val="10"/>
                </w:numPr>
                <w:spacing w:after="120" w:line="360" w:lineRule="auto"/>
                <w:ind w:left="0" w:firstLine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 xml:space="preserve"> W przypadku złożenia wniosku o ogłoszenie upadłości, likwidacji bądź rezygnacji z prowadzenia działalności gospodarczej przez Dzierżawcę </w:t>
              </w:r>
            </w:p>
            <w:p w14:paraId="47B66273" w14:textId="22D38295" w:rsidR="002E441D" w:rsidRPr="00B04080" w:rsidRDefault="002E441D" w:rsidP="00B22436">
              <w:pPr>
                <w:pStyle w:val="Akapitzlist"/>
                <w:numPr>
                  <w:ilvl w:val="0"/>
                  <w:numId w:val="10"/>
                </w:numPr>
                <w:spacing w:after="120" w:line="360" w:lineRule="auto"/>
                <w:ind w:left="0" w:firstLine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 xml:space="preserve">W przypadku lub zalegania z czynszem dzierżawnym przez okres dłuższy niż 3 okresy płatności, </w:t>
              </w:r>
            </w:p>
            <w:p w14:paraId="3AEBB3D0" w14:textId="77777777" w:rsidR="002E441D" w:rsidRPr="00B04080" w:rsidRDefault="002E441D" w:rsidP="00B22436">
              <w:pPr>
                <w:pStyle w:val="Akapitzlist"/>
                <w:spacing w:after="120" w:line="360" w:lineRule="auto"/>
                <w:ind w:left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§ 14</w:t>
              </w:r>
            </w:p>
            <w:p w14:paraId="7F5E0AD3" w14:textId="754A8194" w:rsidR="002E441D" w:rsidRPr="00B04080" w:rsidRDefault="002E441D" w:rsidP="00B22436">
              <w:pPr>
                <w:spacing w:after="120" w:line="360" w:lineRule="auto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 xml:space="preserve">Podmiot, z którym zawierana jest umowa dzierżawy, wnosi kaucję zabezpieczającą należyte wykonanie przedmiotu umowy w wysokości 1000 złotych, za każde pełne 1000 m2 dzierżawionej powierzchni nieruchomości, najpóźniej w dniu zawarcia umowy dzierżawy, przy czym dowód wpłaty kaucji podlega okazaniu przed podpisaniem umowy dzierżawy. </w:t>
              </w:r>
            </w:p>
            <w:p w14:paraId="55D23FCE" w14:textId="465A1190" w:rsidR="002E441D" w:rsidRPr="00B04080" w:rsidRDefault="002E441D" w:rsidP="00B22436">
              <w:pPr>
                <w:spacing w:after="120" w:line="360" w:lineRule="auto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 xml:space="preserve">Kaucja wraz z odsetkami wynikającymi z umowy rachunku bankowego, na którym zostanie ona zdeponowana, pomniejszona o koszty prowadzenia rachunku zostanie zwrócona Dzierżawcy po dostarczeniu przez niego decyzji pozwolenia na użytkowanie obiektu/obiektów budowlanych lub potwierdzenia przyjęcia zgłoszenia </w:t>
              </w:r>
              <w:r w:rsidRPr="00B04080">
                <w:rPr>
                  <w:rFonts w:ascii="Arial" w:hAnsi="Arial" w:cs="Arial"/>
                  <w:sz w:val="24"/>
                  <w:szCs w:val="24"/>
                </w:rPr>
                <w:lastRenderedPageBreak/>
                <w:t xml:space="preserve">obiektu/obiektów do użytkowania w organie nadzoru budowlanego, na podstawie pisemnego wniosku, w terminie 14 dni od daty wpływu wniosku do Urzędu Miasta Piotrkowa Trybunalskiego. </w:t>
              </w:r>
            </w:p>
            <w:p w14:paraId="7DE6A51D" w14:textId="77777777" w:rsidR="002E441D" w:rsidRPr="00B04080" w:rsidRDefault="002E441D" w:rsidP="00B22436">
              <w:pPr>
                <w:spacing w:after="120" w:line="360" w:lineRule="auto"/>
                <w:rPr>
                  <w:rFonts w:ascii="Arial" w:hAnsi="Arial" w:cs="Arial"/>
                  <w:sz w:val="24"/>
                  <w:szCs w:val="24"/>
                </w:rPr>
              </w:pPr>
            </w:p>
            <w:p w14:paraId="3E8E9EEE" w14:textId="77777777" w:rsidR="002E441D" w:rsidRPr="00B04080" w:rsidRDefault="002E441D" w:rsidP="00B22436">
              <w:pPr>
                <w:widowControl w:val="0"/>
                <w:tabs>
                  <w:tab w:val="left" w:pos="720"/>
                </w:tabs>
                <w:suppressAutoHyphens/>
                <w:overflowPunct w:val="0"/>
                <w:autoSpaceDE w:val="0"/>
                <w:autoSpaceDN w:val="0"/>
                <w:adjustRightInd w:val="0"/>
                <w:spacing w:after="0" w:line="360" w:lineRule="auto"/>
                <w:rPr>
                  <w:rFonts w:ascii="Arial" w:hAnsi="Arial" w:cs="Arial"/>
                  <w:spacing w:val="-3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pacing w:val="-3"/>
                  <w:sz w:val="24"/>
                  <w:szCs w:val="24"/>
                </w:rPr>
                <w:t>Kaucja nie podlega zwrotowi w razie niespełnienia warunków, o których mowa § 5 i 6 regulaminu Piotrkowskiej Strefy Aktywności Gospodarczej.</w:t>
              </w:r>
            </w:p>
            <w:p w14:paraId="0073E788" w14:textId="77777777" w:rsidR="002E441D" w:rsidRPr="00B04080" w:rsidRDefault="002E441D" w:rsidP="00B22436">
              <w:pPr>
                <w:widowControl w:val="0"/>
                <w:tabs>
                  <w:tab w:val="left" w:pos="720"/>
                </w:tabs>
                <w:suppressAutoHyphens/>
                <w:overflowPunct w:val="0"/>
                <w:autoSpaceDE w:val="0"/>
                <w:autoSpaceDN w:val="0"/>
                <w:adjustRightInd w:val="0"/>
                <w:spacing w:after="0" w:line="360" w:lineRule="auto"/>
                <w:rPr>
                  <w:rFonts w:ascii="Arial" w:hAnsi="Arial" w:cs="Arial"/>
                  <w:spacing w:val="-3"/>
                  <w:sz w:val="24"/>
                  <w:szCs w:val="24"/>
                </w:rPr>
              </w:pPr>
            </w:p>
            <w:p w14:paraId="25180E61" w14:textId="3B18C354" w:rsidR="002E441D" w:rsidRDefault="002E441D" w:rsidP="00B22436">
              <w:pPr>
                <w:widowControl w:val="0"/>
                <w:tabs>
                  <w:tab w:val="left" w:pos="720"/>
                </w:tabs>
                <w:suppressAutoHyphens/>
                <w:overflowPunct w:val="0"/>
                <w:autoSpaceDE w:val="0"/>
                <w:autoSpaceDN w:val="0"/>
                <w:adjustRightInd w:val="0"/>
                <w:spacing w:after="0" w:line="360" w:lineRule="auto"/>
                <w:rPr>
                  <w:rFonts w:ascii="Arial" w:hAnsi="Arial" w:cs="Arial"/>
                  <w:spacing w:val="-3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pacing w:val="-3"/>
                  <w:sz w:val="24"/>
                  <w:szCs w:val="24"/>
                </w:rPr>
                <w:t xml:space="preserve">Kaucja nie podlega zwrotowi w przypadku rozwiązania umowy za porozumieniem stron, </w:t>
              </w:r>
              <w:r w:rsidR="000A68D0" w:rsidRPr="00B04080">
                <w:rPr>
                  <w:rFonts w:ascii="Arial" w:hAnsi="Arial" w:cs="Arial"/>
                  <w:spacing w:val="-3"/>
                  <w:sz w:val="24"/>
                  <w:szCs w:val="24"/>
                </w:rPr>
                <w:br/>
              </w:r>
              <w:r w:rsidRPr="00B04080">
                <w:rPr>
                  <w:rFonts w:ascii="Arial" w:hAnsi="Arial" w:cs="Arial"/>
                  <w:spacing w:val="-3"/>
                  <w:sz w:val="24"/>
                  <w:szCs w:val="24"/>
                </w:rPr>
                <w:t>na wniosek Dzierżawcy bądź też w przypadku jej rozwiązania z przyczyn leżących po stronie Dzierżawcy</w:t>
              </w:r>
              <w:r w:rsidR="00B04080">
                <w:rPr>
                  <w:rFonts w:ascii="Arial" w:hAnsi="Arial" w:cs="Arial"/>
                  <w:spacing w:val="-3"/>
                  <w:sz w:val="24"/>
                  <w:szCs w:val="24"/>
                </w:rPr>
                <w:t>.</w:t>
              </w:r>
            </w:p>
            <w:p w14:paraId="75899B53" w14:textId="77777777" w:rsidR="00B04080" w:rsidRPr="00B04080" w:rsidRDefault="00B04080" w:rsidP="00B22436">
              <w:pPr>
                <w:widowControl w:val="0"/>
                <w:tabs>
                  <w:tab w:val="left" w:pos="720"/>
                </w:tabs>
                <w:suppressAutoHyphens/>
                <w:overflowPunct w:val="0"/>
                <w:autoSpaceDE w:val="0"/>
                <w:autoSpaceDN w:val="0"/>
                <w:adjustRightInd w:val="0"/>
                <w:spacing w:after="0" w:line="360" w:lineRule="auto"/>
                <w:rPr>
                  <w:rFonts w:ascii="Arial" w:hAnsi="Arial" w:cs="Arial"/>
                  <w:spacing w:val="-3"/>
                  <w:sz w:val="24"/>
                  <w:szCs w:val="24"/>
                </w:rPr>
              </w:pPr>
            </w:p>
            <w:p w14:paraId="26EC6B24" w14:textId="77777777" w:rsidR="002E441D" w:rsidRPr="00B04080" w:rsidRDefault="002E441D" w:rsidP="00B22436">
              <w:pPr>
                <w:spacing w:after="120" w:line="360" w:lineRule="auto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§ 15</w:t>
              </w:r>
            </w:p>
            <w:p w14:paraId="56D71DFE" w14:textId="77777777" w:rsidR="002E441D" w:rsidRPr="00B04080" w:rsidRDefault="002E441D" w:rsidP="00B22436">
              <w:pPr>
                <w:spacing w:after="120" w:line="360" w:lineRule="auto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 xml:space="preserve">W przypadku nieuzyskania przez Dzierżawcę warunków technicznych od gestorów sieci lub decyzji o warunkach zabudowy lub pozwolenia na budowę, Wydzierżawiający może rozwiązać umowę dzierżawy za 1-miesięcznym okresem wypowiedzenia, a kaucja wraz z odsetkami wynikającymi z umowy rachunku bankowego, na którym zostanie ona zdeponowana, pomniejszona o koszty prowadzenia rachunku, zostanie zwrócona Dzierżawcy.  </w:t>
              </w:r>
            </w:p>
            <w:p w14:paraId="2D6CF347" w14:textId="276E436C" w:rsidR="002E441D" w:rsidRPr="00B04080" w:rsidRDefault="002E441D" w:rsidP="00B22436">
              <w:pPr>
                <w:spacing w:after="120" w:line="360" w:lineRule="auto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W wyżej wymienionym przypadku, dzierżawcy nie należy się zwrot innych poniesionych nakładów, poza wspomnianą kaucją.</w:t>
              </w:r>
            </w:p>
            <w:p w14:paraId="47BDB965" w14:textId="77777777" w:rsidR="002E441D" w:rsidRPr="00B04080" w:rsidRDefault="002E441D" w:rsidP="00B22436">
              <w:pPr>
                <w:pStyle w:val="Akapitzlist"/>
                <w:spacing w:after="120" w:line="360" w:lineRule="auto"/>
                <w:ind w:left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§ 16</w:t>
              </w:r>
            </w:p>
            <w:p w14:paraId="059B7E79" w14:textId="08609277" w:rsidR="002E441D" w:rsidRPr="00B04080" w:rsidRDefault="002E441D" w:rsidP="00B22436">
              <w:pPr>
                <w:pStyle w:val="Akapitzlist"/>
                <w:spacing w:after="120" w:line="360" w:lineRule="auto"/>
                <w:ind w:left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 xml:space="preserve">Prezydent Miasta na wniosek Dzierżawcy oraz po uzyskaniu i przedstawieniu przez niego decyzji pozwolenia na użytkowanie obiektu/obiektów budowlanych lub potwierdzenia przyjęcia zgłoszenia obiektu/obiektów do użytkowania w organie nadzoru budowlanego, wzniesionych na dzierżawionym terenie, przeznaczonych do prowadzenia działalności określonej w umowie dzierżawy, wystąpi do Rady Miasta o zgodę na sprzedaż gruntu objętego umową dzierżawy w trybie bezprzetargowym, zgodnie z przepisami ustawy o gospodarce nieruchomościami </w:t>
              </w:r>
              <w:r w:rsidR="000A68D0" w:rsidRPr="00B04080">
                <w:rPr>
                  <w:rFonts w:ascii="Arial" w:hAnsi="Arial" w:cs="Arial"/>
                  <w:sz w:val="24"/>
                  <w:szCs w:val="24"/>
                </w:rPr>
                <w:br/>
              </w:r>
              <w:r w:rsidRPr="00B04080">
                <w:rPr>
                  <w:rFonts w:ascii="Arial" w:hAnsi="Arial" w:cs="Arial"/>
                  <w:sz w:val="24"/>
                  <w:szCs w:val="24"/>
                </w:rPr>
                <w:t xml:space="preserve">w brzmieniu obowiązującym w dacie sprzedaży. </w:t>
              </w:r>
            </w:p>
            <w:p w14:paraId="394FA45A" w14:textId="77777777" w:rsidR="002E441D" w:rsidRPr="00B04080" w:rsidRDefault="002E441D" w:rsidP="00B22436">
              <w:pPr>
                <w:spacing w:after="120" w:line="360" w:lineRule="auto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§ 17</w:t>
              </w:r>
            </w:p>
            <w:p w14:paraId="3F60D39B" w14:textId="11A2B84E" w:rsidR="002E441D" w:rsidRPr="00B04080" w:rsidRDefault="002E441D" w:rsidP="00B22436">
              <w:pPr>
                <w:spacing w:after="120" w:line="360" w:lineRule="auto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 xml:space="preserve">Prezydent Miasta na wniosek Dzierżawcy złożony w ciągu ostatniego roku, nie później jednak niż na 5 miesięcy przed upływem okresu dzierżawy może wystąpić do </w:t>
              </w:r>
              <w:r w:rsidRPr="00B04080">
                <w:rPr>
                  <w:rFonts w:ascii="Arial" w:hAnsi="Arial" w:cs="Arial"/>
                  <w:sz w:val="24"/>
                  <w:szCs w:val="24"/>
                </w:rPr>
                <w:lastRenderedPageBreak/>
                <w:t xml:space="preserve">Rady Miasta, </w:t>
              </w:r>
              <w:r w:rsidR="000A68D0" w:rsidRPr="00B04080">
                <w:rPr>
                  <w:rFonts w:ascii="Arial" w:hAnsi="Arial" w:cs="Arial"/>
                  <w:sz w:val="24"/>
                  <w:szCs w:val="24"/>
                </w:rPr>
                <w:br/>
              </w:r>
              <w:r w:rsidRPr="00B04080">
                <w:rPr>
                  <w:rFonts w:ascii="Arial" w:hAnsi="Arial" w:cs="Arial"/>
                  <w:sz w:val="24"/>
                  <w:szCs w:val="24"/>
                </w:rPr>
                <w:t>z zastrzeżeniem § 18, o zgodę na zawarcie kolejnej umowy dzierżawy w trybie bezprzetargowym. Umowa dzierżawy zostanie zawarta w oparciu o przepisy prawa obowiązujące w dniu jej zawierania.</w:t>
              </w:r>
            </w:p>
            <w:p w14:paraId="7F2044E5" w14:textId="1A5B1459" w:rsidR="002E441D" w:rsidRPr="00B04080" w:rsidRDefault="002E441D" w:rsidP="00B22436">
              <w:pPr>
                <w:spacing w:after="120" w:line="360" w:lineRule="auto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Po wyrażeniu przez Radę Miasta zgody na zawarcie kolejnej umowy dzierżawy, czynsz dzierżawny zostanie ustalony w oparciu o stawki określone w operacie szacunkowym przez rzeczoznawcę majątkowego.</w:t>
              </w:r>
            </w:p>
            <w:p w14:paraId="13FFFA3C" w14:textId="77777777" w:rsidR="002E441D" w:rsidRPr="00B04080" w:rsidRDefault="002E441D" w:rsidP="00B22436">
              <w:pPr>
                <w:spacing w:after="120" w:line="360" w:lineRule="auto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 xml:space="preserve">§ 18 </w:t>
              </w:r>
            </w:p>
            <w:p w14:paraId="5E2F842C" w14:textId="7BDF87D7" w:rsidR="002E441D" w:rsidRPr="00B04080" w:rsidRDefault="002E441D" w:rsidP="00B22436">
              <w:pPr>
                <w:spacing w:after="120" w:line="360" w:lineRule="auto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Prezydent może podjąć decyzję o niewystąpieniu do Rady Miasta o zgodę na sprzedaż gruntu objętego umową dzierżawy lub na zawarcie kolejnej umowy dzierżawy w trybie bezprzetargowym, w przypadku gdy dzierżawca posiada zaległości z tytułu czynszu dzierżawnego za dwa pełne okresy płatności lub/i podatku od nieruchomości wynikające z używania dzierżawionej nieruchomości, a także w sytuacji, gdy Dzierżawca narusza w inny sposób istotne warunki umowy, w szczególności w przypadku:</w:t>
              </w:r>
            </w:p>
            <w:p w14:paraId="5FEE648C" w14:textId="77777777" w:rsidR="002E441D" w:rsidRPr="00B04080" w:rsidRDefault="002E441D" w:rsidP="00B22436">
              <w:pPr>
                <w:pStyle w:val="Akapitzlist"/>
                <w:numPr>
                  <w:ilvl w:val="0"/>
                  <w:numId w:val="9"/>
                </w:numPr>
                <w:spacing w:after="120" w:line="360" w:lineRule="auto"/>
                <w:ind w:left="0" w:firstLine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 xml:space="preserve"> niewykonywania działalności określonej w umowie dzierżawy, </w:t>
              </w:r>
            </w:p>
            <w:p w14:paraId="57944386" w14:textId="77777777" w:rsidR="002E441D" w:rsidRPr="00B04080" w:rsidRDefault="002E441D" w:rsidP="00B22436">
              <w:pPr>
                <w:pStyle w:val="Akapitzlist"/>
                <w:numPr>
                  <w:ilvl w:val="0"/>
                  <w:numId w:val="9"/>
                </w:numPr>
                <w:spacing w:after="120" w:line="360" w:lineRule="auto"/>
                <w:ind w:left="0" w:firstLine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niezabudowania w ustalonym terminie obiektem/obiektami budowlanym/i przeznaczonym/i do prowadzenia działalności, która określona została w umowie dzierżawy,</w:t>
              </w:r>
            </w:p>
            <w:p w14:paraId="6DEF3E66" w14:textId="77777777" w:rsidR="002E441D" w:rsidRPr="00B04080" w:rsidRDefault="002E441D" w:rsidP="00B22436">
              <w:pPr>
                <w:pStyle w:val="Akapitzlist"/>
                <w:numPr>
                  <w:ilvl w:val="0"/>
                  <w:numId w:val="9"/>
                </w:numPr>
                <w:spacing w:after="120" w:line="360" w:lineRule="auto"/>
                <w:ind w:left="0" w:firstLine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 xml:space="preserve">nieutworzenia miejsc pracy, o których mowa w § 6 ust.1  </w:t>
              </w:r>
            </w:p>
            <w:p w14:paraId="581F07C3" w14:textId="3328681C" w:rsidR="002E441D" w:rsidRPr="00B04080" w:rsidRDefault="002E441D" w:rsidP="00B22436">
              <w:pPr>
                <w:spacing w:after="120" w:line="360" w:lineRule="auto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 xml:space="preserve">W przypadku odmowy sprzedaży i zawarcia kolejnej umowy dzierżawy, dzierżawcy nie przysługuje zwrot poniesionych nakładów. </w:t>
              </w:r>
            </w:p>
            <w:p w14:paraId="39799BCE" w14:textId="77777777" w:rsidR="002E441D" w:rsidRPr="00B04080" w:rsidRDefault="002E441D" w:rsidP="00B22436">
              <w:pPr>
                <w:pStyle w:val="Akapitzlist"/>
                <w:spacing w:after="120" w:line="360" w:lineRule="auto"/>
                <w:ind w:left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§ 19</w:t>
              </w:r>
            </w:p>
            <w:p w14:paraId="05AC793A" w14:textId="302EC27B" w:rsidR="002E441D" w:rsidRPr="00B04080" w:rsidRDefault="002E441D" w:rsidP="00B22436">
              <w:pPr>
                <w:spacing w:after="120" w:line="360" w:lineRule="auto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 xml:space="preserve">W przypadku uzyskania zgód, o których mowa w </w:t>
              </w:r>
              <w:r w:rsidRPr="00B04080">
                <w:rPr>
                  <w:rFonts w:ascii="Arial" w:hAnsi="Arial" w:cs="Arial"/>
                  <w:spacing w:val="-3"/>
                  <w:sz w:val="24"/>
                  <w:szCs w:val="24"/>
                </w:rPr>
                <w:t xml:space="preserve">§ 16 i § 17 </w:t>
              </w:r>
              <w:r w:rsidRPr="00B04080">
                <w:rPr>
                  <w:rFonts w:ascii="Arial" w:hAnsi="Arial" w:cs="Arial"/>
                  <w:sz w:val="24"/>
                  <w:szCs w:val="24"/>
                </w:rPr>
                <w:t>Miasto Piotrków Trybunalski odpowiednio sprzeda lub zawrze kolejne umowy dzierżawy na rzecz Dzierżawcy.</w:t>
              </w:r>
            </w:p>
            <w:p w14:paraId="44B36AEE" w14:textId="77777777" w:rsidR="002E441D" w:rsidRPr="00B04080" w:rsidRDefault="002E441D" w:rsidP="00B22436">
              <w:pPr>
                <w:pStyle w:val="Akapitzlist"/>
                <w:spacing w:after="120" w:line="360" w:lineRule="auto"/>
                <w:ind w:left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§ 20</w:t>
              </w:r>
            </w:p>
            <w:p w14:paraId="321A0387" w14:textId="496B2E2E" w:rsidR="002E441D" w:rsidRPr="00B04080" w:rsidRDefault="002E441D" w:rsidP="00B22436">
              <w:pPr>
                <w:pStyle w:val="Akapitzlist"/>
                <w:numPr>
                  <w:ilvl w:val="0"/>
                  <w:numId w:val="8"/>
                </w:numPr>
                <w:spacing w:after="120" w:line="360" w:lineRule="auto"/>
                <w:ind w:left="0" w:firstLine="0"/>
                <w:rPr>
                  <w:rFonts w:ascii="Arial" w:hAnsi="Arial" w:cs="Arial"/>
                  <w:b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 xml:space="preserve">W przypadku odmowy  sprzedaży nieruchomości lub przedłużenia umowy dzierżawy, na skutek braku zgody Rady Miasta, Dzierżawcy przysługuje zwrot nakładów w wysokości wartości rynkowej budynków i innych urządzeń wzniesionych przez Dzierżawcę istniejących w dniu zwrotu dzierżawionego gruntu, według ich </w:t>
              </w:r>
              <w:r w:rsidRPr="00B04080">
                <w:rPr>
                  <w:rFonts w:ascii="Arial" w:hAnsi="Arial" w:cs="Arial"/>
                  <w:sz w:val="24"/>
                  <w:szCs w:val="24"/>
                </w:rPr>
                <w:lastRenderedPageBreak/>
                <w:t>wartości określonej przez rzeczoznawcę majątkowego na zlecenie Wydzierżawiającego, z zastrzeżeniem ust. 2 i 3.</w:t>
              </w:r>
            </w:p>
            <w:p w14:paraId="2B062E6E" w14:textId="77777777" w:rsidR="002E441D" w:rsidRPr="00B04080" w:rsidRDefault="002E441D" w:rsidP="00B22436">
              <w:pPr>
                <w:pStyle w:val="Akapitzlist"/>
                <w:numPr>
                  <w:ilvl w:val="0"/>
                  <w:numId w:val="8"/>
                </w:numPr>
                <w:spacing w:after="120" w:line="360" w:lineRule="auto"/>
                <w:ind w:left="0" w:firstLine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 xml:space="preserve">Za budynki lub urządzenia wzniesione bez pozwolenia na budowę lub wbrew postanowieniom umowy dzierżawy, zwrot nakładów nie przysługuje. </w:t>
              </w:r>
            </w:p>
            <w:p w14:paraId="27300A61" w14:textId="35D74409" w:rsidR="002E441D" w:rsidRPr="00B04080" w:rsidRDefault="002E441D" w:rsidP="00B22436">
              <w:pPr>
                <w:pStyle w:val="Akapitzlist"/>
                <w:numPr>
                  <w:ilvl w:val="0"/>
                  <w:numId w:val="8"/>
                </w:numPr>
                <w:spacing w:after="120" w:line="360" w:lineRule="auto"/>
                <w:ind w:left="0" w:firstLine="0"/>
                <w:rPr>
                  <w:rFonts w:ascii="Arial" w:hAnsi="Arial" w:cs="Arial"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 xml:space="preserve">Zwrot nakładów nie przysługuje również w przypadku rozwiązania umowy </w:t>
              </w:r>
              <w:r w:rsidR="000A68D0" w:rsidRPr="00B04080">
                <w:rPr>
                  <w:rFonts w:ascii="Arial" w:hAnsi="Arial" w:cs="Arial"/>
                  <w:sz w:val="24"/>
                  <w:szCs w:val="24"/>
                </w:rPr>
                <w:br/>
              </w:r>
              <w:r w:rsidRPr="00B04080">
                <w:rPr>
                  <w:rFonts w:ascii="Arial" w:hAnsi="Arial" w:cs="Arial"/>
                  <w:sz w:val="24"/>
                  <w:szCs w:val="24"/>
                </w:rPr>
                <w:t>na podstawie zgodnego porozumienia stron, na wniosek Dzierżawcy, bądź też w przypadku jej rozwiązania z przyczyn leżących po stronie Dzierżawcy.</w:t>
              </w:r>
            </w:p>
            <w:p w14:paraId="790AEB99" w14:textId="77777777" w:rsidR="002E441D" w:rsidRPr="00B04080" w:rsidRDefault="002E441D" w:rsidP="00B22436">
              <w:pPr>
                <w:pStyle w:val="Akapitzlist"/>
                <w:numPr>
                  <w:ilvl w:val="0"/>
                  <w:numId w:val="8"/>
                </w:numPr>
                <w:spacing w:after="120" w:line="360" w:lineRule="auto"/>
                <w:ind w:left="0" w:firstLine="0"/>
                <w:rPr>
                  <w:rFonts w:ascii="Arial" w:hAnsi="Arial" w:cs="Arial"/>
                  <w:b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 xml:space="preserve">Zwrot nakładów nie przysługuje również w przypadku, gdy Dzierżawca nie wyrazi woli nabycia dzierżawionej nieruchomości lub zawarcia kolejnej umowy dzierżawy. </w:t>
              </w:r>
            </w:p>
            <w:p w14:paraId="32FD4DE9" w14:textId="2FD763EB" w:rsidR="002E441D" w:rsidRPr="00B04080" w:rsidRDefault="002E441D" w:rsidP="00B22436">
              <w:pPr>
                <w:pStyle w:val="Akapitzlist"/>
                <w:numPr>
                  <w:ilvl w:val="0"/>
                  <w:numId w:val="8"/>
                </w:numPr>
                <w:spacing w:after="120" w:line="360" w:lineRule="auto"/>
                <w:ind w:left="0" w:firstLine="0"/>
                <w:rPr>
                  <w:rFonts w:ascii="Arial" w:hAnsi="Arial" w:cs="Arial"/>
                  <w:b/>
                  <w:sz w:val="24"/>
                  <w:szCs w:val="24"/>
                </w:rPr>
              </w:pPr>
              <w:r w:rsidRPr="00B04080">
                <w:rPr>
                  <w:rFonts w:ascii="Arial" w:hAnsi="Arial" w:cs="Arial"/>
                  <w:sz w:val="24"/>
                  <w:szCs w:val="24"/>
                </w:rPr>
                <w:t>Dzierżawca zawierając umowę dzierżawy na podstawie niniejszego Regulaminu tym samym oświadcza, że w pełni akceptuje wszelkie postanowienia niniejszego Regulaminu, umowy dzierżawy zawartej na jego podstawie, a także warunki funkcjonowania PSAG w Piotrkowie Trybunalskim wynikające z innych aktów prawnych i dokumentów</w:t>
              </w:r>
              <w:r w:rsidRPr="00B04080">
                <w:rPr>
                  <w:rFonts w:ascii="Arial" w:hAnsi="Arial" w:cs="Arial"/>
                  <w:b/>
                  <w:sz w:val="24"/>
                  <w:szCs w:val="24"/>
                </w:rPr>
                <w:t>.</w:t>
              </w:r>
            </w:p>
            <w:p w14:paraId="1A6F873E" w14:textId="77777777" w:rsidR="00B04080" w:rsidRDefault="00B22436" w:rsidP="00B04080">
              <w:pPr>
                <w:rPr>
                  <w:rFonts w:ascii="Arial" w:hAnsi="Arial" w:cs="Arial"/>
                  <w:sz w:val="24"/>
                  <w:szCs w:val="24"/>
                </w:rPr>
              </w:pPr>
            </w:p>
          </w:sdtContent>
        </w:sdt>
        <w:p w14:paraId="3A7CDE58" w14:textId="53AC7774" w:rsidR="00B04080" w:rsidRPr="00B04080" w:rsidRDefault="00B04080" w:rsidP="00B04080">
          <w:pPr>
            <w:jc w:val="right"/>
            <w:rPr>
              <w:rFonts w:ascii="Arial" w:hAnsi="Arial" w:cs="Arial"/>
              <w:sz w:val="24"/>
              <w:szCs w:val="24"/>
            </w:rPr>
          </w:pPr>
          <w:r w:rsidRPr="00B04080">
            <w:rPr>
              <w:rFonts w:ascii="Arial" w:hAnsi="Arial" w:cs="Arial"/>
              <w:sz w:val="24"/>
              <w:szCs w:val="24"/>
            </w:rPr>
            <w:t>Prezydent Miasta Piotrkowa Trybunalskiego</w:t>
          </w:r>
        </w:p>
        <w:p w14:paraId="636AA817" w14:textId="77777777" w:rsidR="00B04080" w:rsidRPr="00B04080" w:rsidRDefault="00B04080" w:rsidP="00B04080">
          <w:pPr>
            <w:jc w:val="right"/>
            <w:rPr>
              <w:rFonts w:ascii="Arial" w:hAnsi="Arial" w:cs="Arial"/>
              <w:sz w:val="24"/>
              <w:szCs w:val="24"/>
            </w:rPr>
          </w:pPr>
          <w:r w:rsidRPr="00B04080">
            <w:rPr>
              <w:rFonts w:ascii="Arial" w:hAnsi="Arial" w:cs="Arial"/>
              <w:sz w:val="24"/>
              <w:szCs w:val="24"/>
            </w:rPr>
            <w:t>Juliusz Wiernicki</w:t>
          </w:r>
        </w:p>
        <w:p w14:paraId="0DBF5732" w14:textId="77777777" w:rsidR="00B04080" w:rsidRPr="00B04080" w:rsidRDefault="00B04080" w:rsidP="00B04080">
          <w:pPr>
            <w:jc w:val="right"/>
            <w:rPr>
              <w:rFonts w:ascii="Arial" w:hAnsi="Arial" w:cs="Arial"/>
              <w:sz w:val="24"/>
              <w:szCs w:val="24"/>
            </w:rPr>
          </w:pPr>
          <w:r w:rsidRPr="00B04080">
            <w:rPr>
              <w:rFonts w:ascii="Arial" w:hAnsi="Arial" w:cs="Arial"/>
              <w:sz w:val="24"/>
              <w:szCs w:val="24"/>
            </w:rPr>
            <w:t>Dokument został podpisany</w:t>
          </w:r>
        </w:p>
        <w:p w14:paraId="389C42AB" w14:textId="0080CEAB" w:rsidR="00B04080" w:rsidRDefault="00B04080" w:rsidP="00B04080">
          <w:pPr>
            <w:jc w:val="right"/>
            <w:rPr>
              <w:rFonts w:ascii="Arial" w:hAnsi="Arial" w:cs="Arial"/>
              <w:sz w:val="24"/>
              <w:szCs w:val="24"/>
            </w:rPr>
          </w:pPr>
          <w:r w:rsidRPr="00B04080">
            <w:rPr>
              <w:rFonts w:ascii="Arial" w:hAnsi="Arial" w:cs="Arial"/>
              <w:sz w:val="24"/>
              <w:szCs w:val="24"/>
            </w:rPr>
            <w:t>kwalifikowanym podpisem elektronicznym</w:t>
          </w:r>
        </w:p>
        <w:p w14:paraId="6A310CCB" w14:textId="0D832FCC" w:rsidR="00F22A10" w:rsidRPr="00B04080" w:rsidRDefault="00B22436" w:rsidP="00B04080">
          <w:pPr>
            <w:rPr>
              <w:rFonts w:ascii="Arial" w:hAnsi="Arial" w:cs="Arial"/>
              <w:sz w:val="24"/>
              <w:szCs w:val="24"/>
            </w:rPr>
          </w:pPr>
        </w:p>
        <w:permEnd w:id="839546535" w:displacedByCustomXml="next"/>
      </w:sdtContent>
    </w:sdt>
    <w:sectPr w:rsidR="00F22A10" w:rsidRPr="00B0408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2DFDAD" w14:textId="77777777" w:rsidR="00D519BC" w:rsidRDefault="00D519BC" w:rsidP="00F22A10">
      <w:pPr>
        <w:spacing w:after="0" w:line="240" w:lineRule="auto"/>
      </w:pPr>
      <w:r>
        <w:separator/>
      </w:r>
    </w:p>
  </w:endnote>
  <w:endnote w:type="continuationSeparator" w:id="0">
    <w:p w14:paraId="7D0FE9E9" w14:textId="77777777" w:rsidR="00D519BC" w:rsidRDefault="00D519BC" w:rsidP="00F22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770E4" w14:textId="110C536E" w:rsidR="00F22A10" w:rsidRPr="00F22A10" w:rsidRDefault="00F22A10" w:rsidP="00F22A10">
    <w:pPr>
      <w:pStyle w:val="Stopka"/>
      <w:pBdr>
        <w:top w:val="single" w:sz="4" w:space="1" w:color="auto"/>
      </w:pBdr>
      <w:jc w:val="right"/>
      <w:rPr>
        <w:sz w:val="20"/>
        <w:szCs w:val="20"/>
      </w:rPr>
    </w:pPr>
    <w:r w:rsidRPr="00F22A10">
      <w:rPr>
        <w:rFonts w:ascii="Arial" w:hAnsi="Arial" w:cs="Arial"/>
        <w:sz w:val="20"/>
        <w:szCs w:val="20"/>
      </w:rPr>
      <w:t>Dokument został podpisany kwalifikowanym podpisem elektronicznym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853FB" w14:textId="77777777" w:rsidR="00D519BC" w:rsidRDefault="00D519BC" w:rsidP="00F22A10">
      <w:pPr>
        <w:spacing w:after="0" w:line="240" w:lineRule="auto"/>
      </w:pPr>
      <w:r>
        <w:separator/>
      </w:r>
    </w:p>
  </w:footnote>
  <w:footnote w:type="continuationSeparator" w:id="0">
    <w:p w14:paraId="771669AD" w14:textId="77777777" w:rsidR="00D519BC" w:rsidRDefault="00D519BC" w:rsidP="00F22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A200FA"/>
    <w:multiLevelType w:val="hybridMultilevel"/>
    <w:tmpl w:val="43BAA08A"/>
    <w:lvl w:ilvl="0" w:tplc="6BF4FDB4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50178"/>
    <w:multiLevelType w:val="hybridMultilevel"/>
    <w:tmpl w:val="D1BCB8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7A2065"/>
    <w:multiLevelType w:val="hybridMultilevel"/>
    <w:tmpl w:val="B24CBA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D0B0F88"/>
    <w:multiLevelType w:val="hybridMultilevel"/>
    <w:tmpl w:val="C45222BE"/>
    <w:lvl w:ilvl="0" w:tplc="42E267A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052A7D"/>
    <w:multiLevelType w:val="hybridMultilevel"/>
    <w:tmpl w:val="F982AA3A"/>
    <w:lvl w:ilvl="0" w:tplc="F614EBE6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BD57394"/>
    <w:multiLevelType w:val="hybridMultilevel"/>
    <w:tmpl w:val="C3DC8A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5E2B04"/>
    <w:multiLevelType w:val="hybridMultilevel"/>
    <w:tmpl w:val="36D87D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C84593"/>
    <w:multiLevelType w:val="hybridMultilevel"/>
    <w:tmpl w:val="C3788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F106DA"/>
    <w:multiLevelType w:val="hybridMultilevel"/>
    <w:tmpl w:val="C8EA39D6"/>
    <w:lvl w:ilvl="0" w:tplc="165C1BB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FF08D3"/>
    <w:multiLevelType w:val="hybridMultilevel"/>
    <w:tmpl w:val="C94AB44C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>
      <w:start w:val="1"/>
      <w:numFmt w:val="lowerLetter"/>
      <w:lvlText w:val="%2."/>
      <w:lvlJc w:val="left"/>
      <w:pPr>
        <w:ind w:left="1374" w:hanging="360"/>
      </w:pPr>
    </w:lvl>
    <w:lvl w:ilvl="2" w:tplc="0415001B">
      <w:start w:val="1"/>
      <w:numFmt w:val="lowerRoman"/>
      <w:lvlText w:val="%3."/>
      <w:lvlJc w:val="right"/>
      <w:pPr>
        <w:ind w:left="2094" w:hanging="180"/>
      </w:pPr>
    </w:lvl>
    <w:lvl w:ilvl="3" w:tplc="0415000F">
      <w:start w:val="1"/>
      <w:numFmt w:val="decimal"/>
      <w:lvlText w:val="%4."/>
      <w:lvlJc w:val="left"/>
      <w:pPr>
        <w:ind w:left="2814" w:hanging="360"/>
      </w:pPr>
    </w:lvl>
    <w:lvl w:ilvl="4" w:tplc="04150019">
      <w:start w:val="1"/>
      <w:numFmt w:val="lowerLetter"/>
      <w:lvlText w:val="%5."/>
      <w:lvlJc w:val="left"/>
      <w:pPr>
        <w:ind w:left="3534" w:hanging="360"/>
      </w:pPr>
    </w:lvl>
    <w:lvl w:ilvl="5" w:tplc="0415001B">
      <w:start w:val="1"/>
      <w:numFmt w:val="lowerRoman"/>
      <w:lvlText w:val="%6."/>
      <w:lvlJc w:val="right"/>
      <w:pPr>
        <w:ind w:left="4254" w:hanging="180"/>
      </w:pPr>
    </w:lvl>
    <w:lvl w:ilvl="6" w:tplc="0415000F">
      <w:start w:val="1"/>
      <w:numFmt w:val="decimal"/>
      <w:lvlText w:val="%7."/>
      <w:lvlJc w:val="left"/>
      <w:pPr>
        <w:ind w:left="4974" w:hanging="360"/>
      </w:pPr>
    </w:lvl>
    <w:lvl w:ilvl="7" w:tplc="04150019">
      <w:start w:val="1"/>
      <w:numFmt w:val="lowerLetter"/>
      <w:lvlText w:val="%8."/>
      <w:lvlJc w:val="left"/>
      <w:pPr>
        <w:ind w:left="5694" w:hanging="360"/>
      </w:pPr>
    </w:lvl>
    <w:lvl w:ilvl="8" w:tplc="0415001B">
      <w:start w:val="1"/>
      <w:numFmt w:val="lowerRoman"/>
      <w:lvlText w:val="%9."/>
      <w:lvlJc w:val="right"/>
      <w:pPr>
        <w:ind w:left="6414" w:hanging="180"/>
      </w:pPr>
    </w:lvl>
  </w:abstractNum>
  <w:num w:numId="1" w16cid:durableId="556653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0925276">
    <w:abstractNumId w:val="9"/>
  </w:num>
  <w:num w:numId="3" w16cid:durableId="114092058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003266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1649389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733479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07995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421252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12840917">
    <w:abstractNumId w:val="0"/>
  </w:num>
  <w:num w:numId="10" w16cid:durableId="14519720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14BA"/>
    <w:rsid w:val="000503D4"/>
    <w:rsid w:val="000A68D0"/>
    <w:rsid w:val="000D5A64"/>
    <w:rsid w:val="00144995"/>
    <w:rsid w:val="00173512"/>
    <w:rsid w:val="00212A55"/>
    <w:rsid w:val="002E441D"/>
    <w:rsid w:val="00331E82"/>
    <w:rsid w:val="003D3A2D"/>
    <w:rsid w:val="00400DF9"/>
    <w:rsid w:val="005014BA"/>
    <w:rsid w:val="005D6587"/>
    <w:rsid w:val="006144DC"/>
    <w:rsid w:val="00615601"/>
    <w:rsid w:val="0065513C"/>
    <w:rsid w:val="006C5055"/>
    <w:rsid w:val="006D30FF"/>
    <w:rsid w:val="008A0D00"/>
    <w:rsid w:val="009E3771"/>
    <w:rsid w:val="00A412B1"/>
    <w:rsid w:val="00A53793"/>
    <w:rsid w:val="00A61942"/>
    <w:rsid w:val="00A65A4B"/>
    <w:rsid w:val="00A71B6B"/>
    <w:rsid w:val="00A86831"/>
    <w:rsid w:val="00B04080"/>
    <w:rsid w:val="00B15455"/>
    <w:rsid w:val="00B22436"/>
    <w:rsid w:val="00B769E4"/>
    <w:rsid w:val="00BA13CD"/>
    <w:rsid w:val="00C07D74"/>
    <w:rsid w:val="00CE0ED0"/>
    <w:rsid w:val="00D22FDB"/>
    <w:rsid w:val="00D519BC"/>
    <w:rsid w:val="00D5303E"/>
    <w:rsid w:val="00D96A8B"/>
    <w:rsid w:val="00DB22E2"/>
    <w:rsid w:val="00E910DE"/>
    <w:rsid w:val="00E950AF"/>
    <w:rsid w:val="00F22A10"/>
    <w:rsid w:val="00F33A42"/>
    <w:rsid w:val="00FF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59CCC"/>
  <w15:chartTrackingRefBased/>
  <w15:docId w15:val="{2002EA63-BF34-4442-8B94-B6D2297BB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014BA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F22A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2A10"/>
  </w:style>
  <w:style w:type="paragraph" w:styleId="Stopka">
    <w:name w:val="footer"/>
    <w:basedOn w:val="Normalny"/>
    <w:link w:val="StopkaZnak"/>
    <w:uiPriority w:val="99"/>
    <w:unhideWhenUsed/>
    <w:rsid w:val="00F22A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2A10"/>
  </w:style>
  <w:style w:type="paragraph" w:styleId="Akapitzlist">
    <w:name w:val="List Paragraph"/>
    <w:basedOn w:val="Normalny"/>
    <w:uiPriority w:val="34"/>
    <w:qFormat/>
    <w:rsid w:val="002E441D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6DFC3E96A2742B8A74BD81E212BF6E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6646C2F-BFD6-4B46-9F42-F5215824E4B0}"/>
      </w:docPartPr>
      <w:docPartBody>
        <w:p w:rsidR="006C177D" w:rsidRDefault="000B38E5" w:rsidP="000B38E5">
          <w:pPr>
            <w:pStyle w:val="46DFC3E96A2742B8A74BD81E212BF6E01"/>
          </w:pPr>
          <w:r w:rsidRPr="006144DC">
            <w:rPr>
              <w:rStyle w:val="Tekstzastpczy"/>
              <w:sz w:val="24"/>
              <w:szCs w:val="24"/>
            </w:rPr>
            <w:t>[Nr zarządzenia]</w:t>
          </w:r>
        </w:p>
      </w:docPartBody>
    </w:docPart>
    <w:docPart>
      <w:docPartPr>
        <w:name w:val="0BABC2FF405F44A88609AD01C89B2D8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ADDD1F2-B6C8-4B45-B1CC-85B7DFEA8B40}"/>
      </w:docPartPr>
      <w:docPartBody>
        <w:p w:rsidR="006C177D" w:rsidRDefault="000B38E5" w:rsidP="000B38E5">
          <w:pPr>
            <w:pStyle w:val="0BABC2FF405F44A88609AD01C89B2D811"/>
          </w:pPr>
          <w:r w:rsidRPr="00BA13CD">
            <w:rPr>
              <w:rStyle w:val="Tekstzastpczy"/>
              <w:sz w:val="28"/>
              <w:szCs w:val="28"/>
            </w:rPr>
            <w:t>[Treść z</w:t>
          </w:r>
          <w:r>
            <w:rPr>
              <w:rStyle w:val="Tekstzastpczy"/>
              <w:sz w:val="28"/>
              <w:szCs w:val="28"/>
            </w:rPr>
            <w:t>ałącznika</w:t>
          </w:r>
          <w:r w:rsidRPr="00BA13CD">
            <w:rPr>
              <w:rStyle w:val="Tekstzastpczy"/>
              <w:sz w:val="28"/>
              <w:szCs w:val="28"/>
            </w:rPr>
            <w:t>]</w:t>
          </w:r>
        </w:p>
      </w:docPartBody>
    </w:docPart>
    <w:docPart>
      <w:docPartPr>
        <w:name w:val="78D21A1FDCB842EBB3B76473492F830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413C440-81D0-417D-9984-34E03691CA8E}"/>
      </w:docPartPr>
      <w:docPartBody>
        <w:p w:rsidR="00270995" w:rsidRDefault="00CB32E6" w:rsidP="00CB32E6">
          <w:pPr>
            <w:pStyle w:val="78D21A1FDCB842EBB3B76473492F830C"/>
          </w:pPr>
          <w:r w:rsidRPr="00BA13CD">
            <w:rPr>
              <w:rStyle w:val="Tekstzastpczy"/>
              <w:sz w:val="28"/>
              <w:szCs w:val="28"/>
            </w:rPr>
            <w:t>[Treść z</w:t>
          </w:r>
          <w:r>
            <w:rPr>
              <w:rStyle w:val="Tekstzastpczy"/>
              <w:sz w:val="28"/>
              <w:szCs w:val="28"/>
            </w:rPr>
            <w:t>ałącznika</w:t>
          </w:r>
          <w:r w:rsidRPr="00BA13CD">
            <w:rPr>
              <w:rStyle w:val="Tekstzastpczy"/>
              <w:sz w:val="28"/>
              <w:szCs w:val="28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FFB"/>
    <w:rsid w:val="000A0AEE"/>
    <w:rsid w:val="000B38E5"/>
    <w:rsid w:val="00270995"/>
    <w:rsid w:val="00287FFB"/>
    <w:rsid w:val="00611988"/>
    <w:rsid w:val="00615601"/>
    <w:rsid w:val="006C177D"/>
    <w:rsid w:val="008A0D00"/>
    <w:rsid w:val="00CB32E6"/>
    <w:rsid w:val="00D96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CB32E6"/>
    <w:rPr>
      <w:color w:val="808080"/>
    </w:rPr>
  </w:style>
  <w:style w:type="paragraph" w:customStyle="1" w:styleId="46DFC3E96A2742B8A74BD81E212BF6E01">
    <w:name w:val="46DFC3E96A2742B8A74BD81E212BF6E01"/>
    <w:rsid w:val="000B38E5"/>
    <w:rPr>
      <w:rFonts w:eastAsiaTheme="minorHAnsi"/>
      <w:lang w:eastAsia="en-US"/>
    </w:rPr>
  </w:style>
  <w:style w:type="paragraph" w:customStyle="1" w:styleId="0BABC2FF405F44A88609AD01C89B2D811">
    <w:name w:val="0BABC2FF405F44A88609AD01C89B2D811"/>
    <w:rsid w:val="000B38E5"/>
    <w:rPr>
      <w:rFonts w:eastAsiaTheme="minorHAnsi"/>
      <w:lang w:eastAsia="en-US"/>
    </w:rPr>
  </w:style>
  <w:style w:type="paragraph" w:customStyle="1" w:styleId="78D21A1FDCB842EBB3B76473492F830C">
    <w:name w:val="78D21A1FDCB842EBB3B76473492F830C"/>
    <w:rsid w:val="00CB32E6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5D2845-A35A-4E22-AEA8-43047733F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2267</Words>
  <Characters>13608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Dudek Grzegorz</dc:creator>
  <cp:keywords/>
  <dc:description/>
  <cp:lastModifiedBy>Grabowiecka Beata</cp:lastModifiedBy>
  <cp:revision>3</cp:revision>
  <cp:lastPrinted>2021-09-29T12:54:00Z</cp:lastPrinted>
  <dcterms:created xsi:type="dcterms:W3CDTF">2026-04-28T07:42:00Z</dcterms:created>
  <dcterms:modified xsi:type="dcterms:W3CDTF">2026-04-28T07:58:00Z</dcterms:modified>
</cp:coreProperties>
</file>