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9E99" w14:textId="0A7EF2C7" w:rsidR="005014BA" w:rsidRPr="00ED7CB0" w:rsidRDefault="006144DC" w:rsidP="00ED7CB0">
      <w:pPr>
        <w:spacing w:line="288" w:lineRule="auto"/>
        <w:rPr>
          <w:rFonts w:ascii="Arial" w:hAnsi="Arial" w:cs="Arial"/>
          <w:sz w:val="24"/>
          <w:szCs w:val="24"/>
        </w:rPr>
      </w:pPr>
      <w:r w:rsidRPr="00ED7CB0">
        <w:rPr>
          <w:rFonts w:ascii="Arial" w:hAnsi="Arial" w:cs="Arial"/>
          <w:sz w:val="24"/>
          <w:szCs w:val="24"/>
        </w:rPr>
        <w:t>Załącznik do z</w:t>
      </w:r>
      <w:r w:rsidR="005014BA" w:rsidRPr="00ED7CB0">
        <w:rPr>
          <w:rFonts w:ascii="Arial" w:hAnsi="Arial" w:cs="Arial"/>
          <w:sz w:val="24"/>
          <w:szCs w:val="24"/>
        </w:rPr>
        <w:t>arządzeni</w:t>
      </w:r>
      <w:r w:rsidRPr="00ED7CB0">
        <w:rPr>
          <w:rFonts w:ascii="Arial" w:hAnsi="Arial" w:cs="Arial"/>
          <w:sz w:val="24"/>
          <w:szCs w:val="24"/>
        </w:rPr>
        <w:t>a</w:t>
      </w:r>
      <w:r w:rsidR="005014BA" w:rsidRPr="00ED7CB0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permStart w:id="1857123298" w:ed="UM\cienkowski_p"/>
          <w:permStart w:id="931880453" w:ed="UM\grabowiecka_b"/>
          <w:permStart w:id="894517530" w:ed="UM\pawelczyk_K"/>
          <w:permStart w:id="1622103538" w:ed="UM\dudek_g"/>
          <w:r w:rsidR="00A7115E" w:rsidRPr="00ED7CB0">
            <w:rPr>
              <w:rFonts w:ascii="Arial" w:hAnsi="Arial" w:cs="Arial"/>
              <w:sz w:val="24"/>
              <w:szCs w:val="24"/>
            </w:rPr>
            <w:t>386</w:t>
          </w:r>
          <w:permEnd w:id="1857123298"/>
          <w:permEnd w:id="931880453"/>
          <w:permEnd w:id="894517530"/>
          <w:permEnd w:id="1622103538"/>
        </w:sdtContent>
      </w:sdt>
      <w:r w:rsidR="005014BA" w:rsidRPr="00ED7CB0">
        <w:rPr>
          <w:rFonts w:ascii="Arial" w:hAnsi="Arial" w:cs="Arial"/>
          <w:sz w:val="24"/>
          <w:szCs w:val="24"/>
        </w:rPr>
        <w:br/>
        <w:t>Prezydenta Miasta</w:t>
      </w:r>
      <w:r w:rsidR="00FF46EC" w:rsidRPr="00ED7CB0">
        <w:rPr>
          <w:rFonts w:ascii="Arial" w:hAnsi="Arial" w:cs="Arial"/>
          <w:sz w:val="24"/>
          <w:szCs w:val="24"/>
        </w:rPr>
        <w:t xml:space="preserve"> </w:t>
      </w:r>
      <w:r w:rsidR="005014BA" w:rsidRPr="00ED7CB0">
        <w:rPr>
          <w:rFonts w:ascii="Arial" w:hAnsi="Arial" w:cs="Arial"/>
          <w:sz w:val="24"/>
          <w:szCs w:val="24"/>
        </w:rPr>
        <w:t>Piotrkowa Trybunalskiego</w:t>
      </w:r>
      <w:r w:rsidR="005014BA" w:rsidRPr="00ED7CB0">
        <w:rPr>
          <w:rFonts w:ascii="Arial" w:hAnsi="Arial" w:cs="Arial"/>
          <w:sz w:val="24"/>
          <w:szCs w:val="24"/>
        </w:rPr>
        <w:br/>
        <w:t>z dnia</w:t>
      </w:r>
      <w:r w:rsidR="00A71B6B" w:rsidRPr="00ED7CB0">
        <w:rPr>
          <w:rFonts w:ascii="Arial" w:hAnsi="Arial" w:cs="Arial"/>
          <w:sz w:val="24"/>
          <w:szCs w:val="24"/>
        </w:rPr>
        <w:t xml:space="preserve"> </w:t>
      </w:r>
      <w:bookmarkStart w:id="0" w:name="ezdDataPodpisu"/>
      <w:bookmarkEnd w:id="0"/>
      <w:r w:rsidR="00ED7CB0" w:rsidRPr="00ED7CB0">
        <w:rPr>
          <w:rFonts w:ascii="Arial" w:hAnsi="Arial" w:cs="Arial"/>
          <w:sz w:val="24"/>
          <w:szCs w:val="24"/>
        </w:rPr>
        <w:t xml:space="preserve">02-12-2025 </w:t>
      </w:r>
      <w:r w:rsidR="005014BA" w:rsidRPr="00ED7CB0">
        <w:rPr>
          <w:rFonts w:ascii="Arial" w:hAnsi="Arial" w:cs="Arial"/>
          <w:sz w:val="24"/>
          <w:szCs w:val="24"/>
        </w:rPr>
        <w:t>roku</w:t>
      </w:r>
    </w:p>
    <w:p w14:paraId="34B6D953" w14:textId="77777777" w:rsidR="00BA13CD" w:rsidRPr="00BA13CD" w:rsidRDefault="00BA13CD" w:rsidP="00BA13CD">
      <w:pPr>
        <w:jc w:val="center"/>
        <w:rPr>
          <w:b/>
          <w:bCs/>
          <w:sz w:val="28"/>
          <w:szCs w:val="28"/>
        </w:rPr>
      </w:pPr>
    </w:p>
    <w:sdt>
      <w:sdtPr>
        <w:rPr>
          <w:rFonts w:ascii="Arial" w:eastAsiaTheme="minorHAnsi" w:hAnsi="Arial" w:cs="Arial"/>
          <w:sz w:val="28"/>
          <w:szCs w:val="28"/>
          <w:lang w:eastAsia="en-US"/>
        </w:rPr>
        <w:id w:val="785394786"/>
        <w:placeholder>
          <w:docPart w:val="0BABC2FF405F44A88609AD01C89B2D81"/>
        </w:placeholder>
      </w:sdtPr>
      <w:sdtEndPr>
        <w:rPr>
          <w:rFonts w:asciiTheme="minorHAnsi" w:hAnsiTheme="minorHAnsi" w:cstheme="minorBidi"/>
        </w:rPr>
      </w:sdtEndPr>
      <w:sdtContent>
        <w:permStart w:id="839546535" w:edGrp="everyone" w:displacedByCustomXml="prev"/>
        <w:p w14:paraId="4E3BE526" w14:textId="77777777" w:rsidR="00106A22" w:rsidRPr="00ED7CB0" w:rsidRDefault="00106A22" w:rsidP="004777C3">
          <w:pPr>
            <w:pStyle w:val="Zwykytekst"/>
            <w:spacing w:line="312" w:lineRule="auto"/>
            <w:jc w:val="both"/>
            <w:rPr>
              <w:rFonts w:ascii="Arial" w:eastAsia="MS Mincho" w:hAnsi="Arial" w:cs="Arial"/>
              <w:bCs/>
              <w:sz w:val="24"/>
              <w:szCs w:val="24"/>
            </w:rPr>
          </w:pPr>
          <w:r w:rsidRPr="00ED7CB0">
            <w:rPr>
              <w:rFonts w:ascii="Arial" w:eastAsia="MS Mincho" w:hAnsi="Arial" w:cs="Arial"/>
              <w:bCs/>
              <w:sz w:val="24"/>
              <w:szCs w:val="24"/>
            </w:rPr>
            <w:t>Wykaz nieruchomości przeznaczonych do oddania w dzierżawę, wchodzących w skład zasobu nieruchomości Miasta Piotrkowa Trybunalskiego.</w:t>
          </w:r>
        </w:p>
        <w:p w14:paraId="49542A28" w14:textId="77777777" w:rsidR="00106A22" w:rsidRPr="00ED7CB0" w:rsidRDefault="00106A22" w:rsidP="004777C3">
          <w:pPr>
            <w:pStyle w:val="Zwykytekst"/>
            <w:spacing w:line="312" w:lineRule="auto"/>
            <w:jc w:val="both"/>
            <w:rPr>
              <w:rFonts w:ascii="Arial" w:eastAsia="MS Mincho" w:hAnsi="Arial" w:cs="Arial"/>
              <w:bCs/>
              <w:sz w:val="22"/>
              <w:szCs w:val="22"/>
            </w:rPr>
          </w:pPr>
        </w:p>
        <w:p w14:paraId="45447A57" w14:textId="352C0AAB" w:rsidR="00106A22" w:rsidRPr="00ED7CB0" w:rsidRDefault="00106A22" w:rsidP="00106A22">
          <w:pPr>
            <w:pStyle w:val="Zwykytekst"/>
            <w:numPr>
              <w:ilvl w:val="0"/>
              <w:numId w:val="1"/>
            </w:numPr>
            <w:spacing w:line="312" w:lineRule="auto"/>
            <w:ind w:left="142" w:hanging="284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>Nieruchomości przeznaczone do oddania w dzierżawę wchodzą w skład zasobu nieruchomości Miasta Piotrkowa Trybunalskiego. Nieruchomo</w:t>
          </w:r>
          <w:r w:rsidR="00164ADE" w:rsidRPr="00ED7CB0">
            <w:rPr>
              <w:rFonts w:ascii="Arial" w:eastAsia="MS Mincho" w:hAnsi="Arial" w:cs="Arial"/>
              <w:sz w:val="24"/>
              <w:szCs w:val="24"/>
            </w:rPr>
            <w:t>ści te, według stanu na dzień 24.11.2025 r.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, zostały szczegółowo opisane w załącznikach do niniejszego wykazu: </w:t>
          </w:r>
        </w:p>
        <w:p w14:paraId="6F1639DD" w14:textId="77777777" w:rsidR="00106A22" w:rsidRPr="00ED7CB0" w:rsidRDefault="00106A22" w:rsidP="00106A22">
          <w:pPr>
            <w:pStyle w:val="Zwykytekst"/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>- załączniku nr 1 – nieruchomości stanowiące własność Miasta Piotrkowa Trybunalskiego,</w:t>
          </w:r>
        </w:p>
        <w:p w14:paraId="42B6C075" w14:textId="77777777" w:rsidR="00106A22" w:rsidRPr="00ED7CB0" w:rsidRDefault="00106A22" w:rsidP="00106A22">
          <w:pPr>
            <w:pStyle w:val="Zwykytekst"/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- załączniku nr 2 – lokale stanowiące własność Miasta Piotrków Trybunalski znajdujące się w budynkach wspólnot mieszkaniowych. </w:t>
          </w:r>
        </w:p>
        <w:p w14:paraId="78021501" w14:textId="3EE71BA3" w:rsidR="00106A22" w:rsidRPr="00ED7CB0" w:rsidRDefault="00106A22" w:rsidP="00106A22">
          <w:pPr>
            <w:pStyle w:val="Zwykytekst"/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>Powierzchnia nieruchomości opisanych w załącznikach nr 1 i nr 2 wynos</w:t>
          </w:r>
          <w:r w:rsidR="00164ADE" w:rsidRPr="00ED7CB0">
            <w:rPr>
              <w:rFonts w:ascii="Arial" w:eastAsia="MS Mincho" w:hAnsi="Arial" w:cs="Arial"/>
              <w:sz w:val="24"/>
              <w:szCs w:val="24"/>
            </w:rPr>
            <w:t xml:space="preserve">i ogółem </w:t>
          </w:r>
          <w:r w:rsidR="00164ADE" w:rsidRPr="00ED7CB0">
            <w:rPr>
              <w:rFonts w:ascii="Arial" w:eastAsia="MS Mincho" w:hAnsi="Arial" w:cs="Arial"/>
              <w:sz w:val="24"/>
              <w:szCs w:val="24"/>
            </w:rPr>
            <w:br/>
            <w:t>125.775,68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 m</w:t>
          </w:r>
          <w:r w:rsidRPr="00ED7CB0">
            <w:rPr>
              <w:rFonts w:ascii="Arial" w:eastAsia="MS Mincho" w:hAnsi="Arial" w:cs="Arial"/>
              <w:sz w:val="24"/>
              <w:szCs w:val="24"/>
              <w:vertAlign w:val="superscript"/>
            </w:rPr>
            <w:t>2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>, w tym powier</w:t>
          </w:r>
          <w:r w:rsidR="00164ADE" w:rsidRPr="00ED7CB0">
            <w:rPr>
              <w:rFonts w:ascii="Arial" w:eastAsia="MS Mincho" w:hAnsi="Arial" w:cs="Arial"/>
              <w:sz w:val="24"/>
              <w:szCs w:val="24"/>
            </w:rPr>
            <w:t>zchnia oczynszowana – 120.515,83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 m</w:t>
          </w:r>
          <w:r w:rsidRPr="00ED7CB0">
            <w:rPr>
              <w:rFonts w:ascii="Arial" w:eastAsia="MS Mincho" w:hAnsi="Arial" w:cs="Arial"/>
              <w:sz w:val="24"/>
              <w:szCs w:val="24"/>
              <w:vertAlign w:val="superscript"/>
            </w:rPr>
            <w:t>2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>.</w:t>
          </w:r>
        </w:p>
        <w:p w14:paraId="02ECB2AA" w14:textId="77777777" w:rsidR="00106A22" w:rsidRPr="00ED7CB0" w:rsidRDefault="00106A22" w:rsidP="00106A22">
          <w:pPr>
            <w:pStyle w:val="Zwykytekst"/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>Zarówno powierzchnia nieruchomości przeznaczonych do wydzierżawienia jak i powierzchni oczynszowanej będą ulec zmianie.</w:t>
          </w:r>
        </w:p>
        <w:p w14:paraId="4D8EDB6E" w14:textId="353942FC" w:rsidR="00106A22" w:rsidRPr="00ED7CB0" w:rsidRDefault="00106A22" w:rsidP="00106A22">
          <w:pPr>
            <w:pStyle w:val="Zwykytekst"/>
            <w:numPr>
              <w:ilvl w:val="0"/>
              <w:numId w:val="1"/>
            </w:numPr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>Nieruchomości przeznacza się do oddania w dzierżawę na rzecz Towarzystwa Budownictwa Społecznego w Piotrkowie Trybunalskim sp. z o.o. z siedzibą w Piotrkowie Trybunalskim, na czas oznaczony od 01.01.2026 r. do 31.12.2026 r. z przeznaczeniem do używania oraz pobierania pożytków.</w:t>
          </w:r>
        </w:p>
        <w:p w14:paraId="7C84E33A" w14:textId="70CB89D2" w:rsidR="00106A22" w:rsidRPr="00ED7CB0" w:rsidRDefault="00106A22" w:rsidP="00106A22">
          <w:pPr>
            <w:pStyle w:val="Zwykytekst"/>
            <w:numPr>
              <w:ilvl w:val="0"/>
              <w:numId w:val="1"/>
            </w:numPr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>Rada Miasta Piotrkowa Trybunalskiego w uchwale Nr XXV/269/25 z dnia 29 października 2025 r. wyraziła zgodę na zawarcie z dotychczasowym dzierżawcą, na czas oznaczony 01.01.2026 r. do 31.12.2026 r., kolejnej umowy dzierżawy obejmującej nieruchomości wchodzące w skład zasobu nieruchomości Miasta Piotrkowa Trybunalskiego, wymienione w załącznikach nr 1 i 2 do niniejszego wykazu.</w:t>
          </w:r>
        </w:p>
        <w:p w14:paraId="110E17DE" w14:textId="4B733A0B" w:rsidR="00106A22" w:rsidRPr="00ED7CB0" w:rsidRDefault="00106A22" w:rsidP="00106A22">
          <w:pPr>
            <w:pStyle w:val="Zwykytekst"/>
            <w:numPr>
              <w:ilvl w:val="0"/>
              <w:numId w:val="1"/>
            </w:numPr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>Ustala się stawkę czynszu dzierżawnego w wysokości 0,06 zł/m</w:t>
          </w:r>
          <w:r w:rsidRPr="00ED7CB0">
            <w:rPr>
              <w:rFonts w:ascii="Arial" w:eastAsia="MS Mincho" w:hAnsi="Arial" w:cs="Arial"/>
              <w:sz w:val="24"/>
              <w:szCs w:val="24"/>
              <w:vertAlign w:val="superscript"/>
            </w:rPr>
            <w:t>2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 miesięcznie w stosunku do powierzchni oczynszowanej; </w:t>
          </w:r>
        </w:p>
        <w:p w14:paraId="64B6536C" w14:textId="3ADAAE2B" w:rsidR="00106A22" w:rsidRPr="00ED7CB0" w:rsidRDefault="00106A22" w:rsidP="00106A22">
          <w:pPr>
            <w:pStyle w:val="Zwykytekst"/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czynsz dzierżawny </w:t>
          </w:r>
          <w:r w:rsidR="00164ADE" w:rsidRPr="00ED7CB0">
            <w:rPr>
              <w:rFonts w:ascii="Arial" w:eastAsia="MS Mincho" w:hAnsi="Arial" w:cs="Arial"/>
              <w:sz w:val="24"/>
              <w:szCs w:val="24"/>
            </w:rPr>
            <w:t>według stanu na dzień 24.11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.2025 r. wynosi miesięcznie: </w:t>
          </w:r>
        </w:p>
        <w:p w14:paraId="41AB43C8" w14:textId="29698AEF" w:rsidR="00106A22" w:rsidRPr="00ED7CB0" w:rsidRDefault="00164ADE" w:rsidP="00106A22">
          <w:pPr>
            <w:pStyle w:val="Zwykytekst"/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>120.515,83</w:t>
          </w:r>
          <w:r w:rsidR="00106A22" w:rsidRPr="00ED7CB0">
            <w:rPr>
              <w:rFonts w:ascii="Arial" w:eastAsia="MS Mincho" w:hAnsi="Arial" w:cs="Arial"/>
              <w:sz w:val="24"/>
              <w:szCs w:val="24"/>
            </w:rPr>
            <w:t xml:space="preserve"> m</w:t>
          </w:r>
          <w:r w:rsidR="00106A22" w:rsidRPr="00ED7CB0">
            <w:rPr>
              <w:rFonts w:ascii="Arial" w:eastAsia="MS Mincho" w:hAnsi="Arial" w:cs="Arial"/>
              <w:sz w:val="24"/>
              <w:szCs w:val="24"/>
              <w:vertAlign w:val="superscript"/>
            </w:rPr>
            <w:t xml:space="preserve">2 </w:t>
          </w:r>
          <w:r w:rsidR="00106A22" w:rsidRPr="00ED7CB0">
            <w:rPr>
              <w:rFonts w:ascii="Arial" w:eastAsia="MS Mincho" w:hAnsi="Arial" w:cs="Arial"/>
              <w:sz w:val="24"/>
              <w:szCs w:val="24"/>
            </w:rPr>
            <w:t>x 0,06 zł/m</w:t>
          </w:r>
          <w:r w:rsidR="00106A22" w:rsidRPr="00ED7CB0">
            <w:rPr>
              <w:rFonts w:ascii="Arial" w:eastAsia="MS Mincho" w:hAnsi="Arial" w:cs="Arial"/>
              <w:sz w:val="24"/>
              <w:szCs w:val="24"/>
              <w:vertAlign w:val="superscript"/>
            </w:rPr>
            <w:t xml:space="preserve">2  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>= 7.230,95</w:t>
          </w:r>
          <w:r w:rsidR="00106A22" w:rsidRPr="00ED7CB0">
            <w:rPr>
              <w:rFonts w:ascii="Arial" w:eastAsia="MS Mincho" w:hAnsi="Arial" w:cs="Arial"/>
              <w:sz w:val="24"/>
              <w:szCs w:val="24"/>
            </w:rPr>
            <w:t xml:space="preserve"> zł netto. Do czynszu dolicza się podatek VAT </w:t>
          </w:r>
          <w:r w:rsidR="00106A22" w:rsidRPr="00ED7CB0">
            <w:rPr>
              <w:rFonts w:ascii="Arial" w:eastAsia="MS Mincho" w:hAnsi="Arial" w:cs="Arial"/>
              <w:sz w:val="24"/>
              <w:szCs w:val="24"/>
            </w:rPr>
            <w:br/>
            <w:t>w stawce podstawowej obowiązującej w danym roku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 </w:t>
          </w:r>
          <w:r w:rsidR="00106A22" w:rsidRPr="00ED7CB0">
            <w:rPr>
              <w:rFonts w:ascii="Arial" w:eastAsia="MS Mincho" w:hAnsi="Arial" w:cs="Arial"/>
              <w:sz w:val="24"/>
              <w:szCs w:val="24"/>
            </w:rPr>
            <w:t xml:space="preserve">- obecnie w wysokości 23%. </w:t>
          </w:r>
        </w:p>
        <w:p w14:paraId="6254188F" w14:textId="1E86A279" w:rsidR="00106A22" w:rsidRPr="00ED7CB0" w:rsidRDefault="00106A22" w:rsidP="00106A22">
          <w:pPr>
            <w:pStyle w:val="Zwykytekst"/>
            <w:numPr>
              <w:ilvl w:val="0"/>
              <w:numId w:val="1"/>
            </w:numPr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>Czynsz płatny jest do 15 dnia każdego następnego miesiąca.</w:t>
          </w:r>
        </w:p>
        <w:p w14:paraId="4F3F1C09" w14:textId="7361BB42" w:rsidR="00106A22" w:rsidRPr="00ED7CB0" w:rsidRDefault="00106A22" w:rsidP="00106A22">
          <w:pPr>
            <w:pStyle w:val="Zwykytekst"/>
            <w:numPr>
              <w:ilvl w:val="0"/>
              <w:numId w:val="1"/>
            </w:numPr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Wysokość czynszu w latach następnych może ulegać zwiększeniu. Czynsz będzie aktualizowany w IV kwartale każdego roku kalendarzowego z mocą obowiązywania od 1 stycznia następnego roku – wg wskaźnika cen towarów i usług konsumpcyjnych </w:t>
          </w:r>
          <w:r w:rsidRPr="00ED7CB0">
            <w:rPr>
              <w:rFonts w:ascii="Arial" w:eastAsia="MS Mincho" w:hAnsi="Arial" w:cs="Arial"/>
              <w:sz w:val="24"/>
              <w:szCs w:val="24"/>
            </w:rPr>
            <w:lastRenderedPageBreak/>
            <w:t>za trzy kwartały w stosunku do analogicznego okresu roku poprzedniego, ogłoszonego przez Prezesa GUS na dzień 30 września danego roku. O nowej wysokości czynszu dzierżawnego, Dzierżawca będzie informowany w formie jednostronnego pisemnego oświadcz</w:t>
          </w:r>
          <w:r w:rsidR="006B7ECE" w:rsidRPr="00ED7CB0">
            <w:rPr>
              <w:rFonts w:ascii="Arial" w:eastAsia="MS Mincho" w:hAnsi="Arial" w:cs="Arial"/>
              <w:sz w:val="24"/>
              <w:szCs w:val="24"/>
            </w:rPr>
            <w:t>enia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 woli Wydzierżawiającego. </w:t>
          </w:r>
        </w:p>
        <w:p w14:paraId="6AD2CA6E" w14:textId="4FCABE0A" w:rsidR="00106A22" w:rsidRPr="00ED7CB0" w:rsidRDefault="00106A22" w:rsidP="004777C3">
          <w:pPr>
            <w:pStyle w:val="Zwykytekst"/>
            <w:numPr>
              <w:ilvl w:val="0"/>
              <w:numId w:val="1"/>
            </w:numPr>
            <w:spacing w:line="312" w:lineRule="auto"/>
            <w:ind w:left="142"/>
            <w:jc w:val="both"/>
            <w:rPr>
              <w:rFonts w:ascii="Arial" w:eastAsia="MS Mincho" w:hAnsi="Arial" w:cs="Arial"/>
              <w:sz w:val="24"/>
              <w:szCs w:val="24"/>
            </w:rPr>
          </w:pPr>
          <w:r w:rsidRPr="00ED7CB0">
            <w:rPr>
              <w:rFonts w:ascii="Arial" w:eastAsia="MS Mincho" w:hAnsi="Arial" w:cs="Arial"/>
              <w:sz w:val="24"/>
              <w:szCs w:val="24"/>
            </w:rPr>
            <w:t xml:space="preserve">Wykaz podlega wywieszeniu na tablicy ogłoszeń w Urzędzie Miasta Piotrkowa Trybunalskiego oraz zamieszcza się na stronie internetowej: www.piotrkow.pl </w:t>
          </w:r>
          <w:r w:rsidRPr="00ED7CB0">
            <w:rPr>
              <w:rFonts w:ascii="Arial" w:eastAsia="MS Mincho" w:hAnsi="Arial" w:cs="Arial"/>
              <w:sz w:val="24"/>
              <w:szCs w:val="24"/>
            </w:rPr>
            <w:br/>
            <w:t>i w Biuletynie Informacji Publicznej www.bip.piotr</w:t>
          </w:r>
          <w:r w:rsidR="00ED7CB0">
            <w:rPr>
              <w:rFonts w:ascii="Arial" w:eastAsia="MS Mincho" w:hAnsi="Arial" w:cs="Arial"/>
              <w:sz w:val="24"/>
              <w:szCs w:val="24"/>
            </w:rPr>
            <w:t xml:space="preserve">kow.pl, na okres 21 dni tj. od 04.12.2025 r. 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>do</w:t>
          </w:r>
          <w:r w:rsidR="00ED7CB0">
            <w:rPr>
              <w:rFonts w:ascii="Arial" w:eastAsia="MS Mincho" w:hAnsi="Arial" w:cs="Arial"/>
              <w:sz w:val="24"/>
              <w:szCs w:val="24"/>
            </w:rPr>
            <w:t xml:space="preserve"> 25.12.2025 r., </w:t>
          </w:r>
          <w:r w:rsidRPr="00ED7CB0">
            <w:rPr>
              <w:rFonts w:ascii="Arial" w:eastAsia="MS Mincho" w:hAnsi="Arial" w:cs="Arial"/>
              <w:sz w:val="24"/>
              <w:szCs w:val="24"/>
            </w:rPr>
            <w:t>a informacja o wywieszeniu wykazu podana zostanie do publicznej wiadomości w prasie lokalnej o zasięgu obejmującym co najmniej powiat, na terenie którego położone są nieruchomości.</w:t>
          </w:r>
        </w:p>
        <w:p w14:paraId="2FE97221" w14:textId="0D40D3FB" w:rsidR="00ED7CB0" w:rsidRDefault="00ED7CB0">
          <w:pPr>
            <w:rPr>
              <w:sz w:val="28"/>
              <w:szCs w:val="28"/>
            </w:rPr>
          </w:pPr>
        </w:p>
        <w:permEnd w:id="839546535" w:displacedByCustomXml="next"/>
      </w:sdtContent>
    </w:sdt>
    <w:p w14:paraId="67108AA6" w14:textId="77777777" w:rsidR="00ED7CB0" w:rsidRDefault="00ED7CB0" w:rsidP="00ED7CB0">
      <w:pPr>
        <w:pStyle w:val="Normalny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Prezydent Miasta Piotrkowa Trybunalskiego</w:t>
      </w:r>
    </w:p>
    <w:p w14:paraId="00A3E7C3" w14:textId="77777777" w:rsidR="00ED7CB0" w:rsidRDefault="00ED7CB0" w:rsidP="00ED7CB0">
      <w:pPr>
        <w:pStyle w:val="Normalny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Juliusz </w:t>
      </w:r>
      <w:proofErr w:type="spellStart"/>
      <w:r>
        <w:rPr>
          <w:rFonts w:ascii="Arial" w:hAnsi="Arial" w:cs="Arial"/>
          <w:color w:val="000000"/>
        </w:rPr>
        <w:t>Wiernicki</w:t>
      </w:r>
      <w:proofErr w:type="spellEnd"/>
    </w:p>
    <w:p w14:paraId="2AFED512" w14:textId="77777777" w:rsidR="00ED7CB0" w:rsidRPr="003C4064" w:rsidRDefault="00ED7CB0" w:rsidP="00ED7CB0">
      <w:pPr>
        <w:pStyle w:val="Normalny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 podpisany kwalifikowanym podpisem elektronicznym</w:t>
      </w:r>
    </w:p>
    <w:p w14:paraId="2A47A374" w14:textId="77777777" w:rsidR="00ED7CB0" w:rsidRDefault="00ED7CB0">
      <w:pPr>
        <w:rPr>
          <w:sz w:val="28"/>
          <w:szCs w:val="28"/>
        </w:rPr>
      </w:pPr>
      <w:bookmarkStart w:id="1" w:name="_GoBack"/>
      <w:bookmarkEnd w:id="1"/>
    </w:p>
    <w:sectPr w:rsidR="00ED7C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D02D0" w14:textId="77777777" w:rsidR="007F70FD" w:rsidRDefault="007F70FD" w:rsidP="00F22A10">
      <w:pPr>
        <w:spacing w:after="0" w:line="240" w:lineRule="auto"/>
      </w:pPr>
      <w:r>
        <w:separator/>
      </w:r>
    </w:p>
  </w:endnote>
  <w:endnote w:type="continuationSeparator" w:id="0">
    <w:p w14:paraId="5FBC428D" w14:textId="77777777" w:rsidR="007F70FD" w:rsidRDefault="007F70FD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99768" w14:textId="77777777" w:rsidR="007F70FD" w:rsidRDefault="007F70FD" w:rsidP="00F22A10">
      <w:pPr>
        <w:spacing w:after="0" w:line="240" w:lineRule="auto"/>
      </w:pPr>
      <w:r>
        <w:separator/>
      </w:r>
    </w:p>
  </w:footnote>
  <w:footnote w:type="continuationSeparator" w:id="0">
    <w:p w14:paraId="76B1CE03" w14:textId="77777777" w:rsidR="007F70FD" w:rsidRDefault="007F70FD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E5493"/>
    <w:multiLevelType w:val="multilevel"/>
    <w:tmpl w:val="2F02C6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106A22"/>
    <w:rsid w:val="00144995"/>
    <w:rsid w:val="00164ADE"/>
    <w:rsid w:val="00173512"/>
    <w:rsid w:val="00212A55"/>
    <w:rsid w:val="00331E82"/>
    <w:rsid w:val="003D3A2D"/>
    <w:rsid w:val="00400DF9"/>
    <w:rsid w:val="00457F7D"/>
    <w:rsid w:val="005014BA"/>
    <w:rsid w:val="005D6587"/>
    <w:rsid w:val="006144DC"/>
    <w:rsid w:val="0065513C"/>
    <w:rsid w:val="006B7ECE"/>
    <w:rsid w:val="006C5055"/>
    <w:rsid w:val="006D30FF"/>
    <w:rsid w:val="00772A71"/>
    <w:rsid w:val="007F70FD"/>
    <w:rsid w:val="009269AD"/>
    <w:rsid w:val="009E3771"/>
    <w:rsid w:val="00A412B1"/>
    <w:rsid w:val="00A53793"/>
    <w:rsid w:val="00A61942"/>
    <w:rsid w:val="00A65A4B"/>
    <w:rsid w:val="00A7115E"/>
    <w:rsid w:val="00A71B6B"/>
    <w:rsid w:val="00A86831"/>
    <w:rsid w:val="00A9765C"/>
    <w:rsid w:val="00B15455"/>
    <w:rsid w:val="00B769E4"/>
    <w:rsid w:val="00BA13CD"/>
    <w:rsid w:val="00C07D74"/>
    <w:rsid w:val="00CE0ED0"/>
    <w:rsid w:val="00D22FDB"/>
    <w:rsid w:val="00D5303E"/>
    <w:rsid w:val="00DB22E2"/>
    <w:rsid w:val="00E910DE"/>
    <w:rsid w:val="00E950AF"/>
    <w:rsid w:val="00ED7CB0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Zwykytekst">
    <w:name w:val="Plain Text"/>
    <w:basedOn w:val="Normalny"/>
    <w:link w:val="ZwykytekstZnak"/>
    <w:rsid w:val="00106A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06A2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D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7511D"/>
    <w:rsid w:val="00287FFB"/>
    <w:rsid w:val="00611988"/>
    <w:rsid w:val="006C177D"/>
    <w:rsid w:val="00743A32"/>
    <w:rsid w:val="00772A71"/>
    <w:rsid w:val="00A9765C"/>
    <w:rsid w:val="00AB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B72E-7FF3-4088-BB34-D5162415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11</cp:revision>
  <cp:lastPrinted>2021-09-29T12:54:00Z</cp:lastPrinted>
  <dcterms:created xsi:type="dcterms:W3CDTF">2021-10-05T10:04:00Z</dcterms:created>
  <dcterms:modified xsi:type="dcterms:W3CDTF">2025-12-03T07:21:00Z</dcterms:modified>
</cp:coreProperties>
</file>