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DFECA" w14:textId="77777777" w:rsidR="00014CEB" w:rsidRDefault="006144DC" w:rsidP="00014CEB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9267B6">
        <w:rPr>
          <w:rFonts w:ascii="Arial" w:hAnsi="Arial" w:cs="Arial"/>
          <w:sz w:val="20"/>
          <w:szCs w:val="20"/>
        </w:rPr>
        <w:t>Załącznik do z</w:t>
      </w:r>
      <w:r w:rsidR="005014BA" w:rsidRPr="009267B6">
        <w:rPr>
          <w:rFonts w:ascii="Arial" w:hAnsi="Arial" w:cs="Arial"/>
          <w:sz w:val="20"/>
          <w:szCs w:val="20"/>
        </w:rPr>
        <w:t>arządzeni</w:t>
      </w:r>
      <w:r w:rsidRPr="009267B6">
        <w:rPr>
          <w:rFonts w:ascii="Arial" w:hAnsi="Arial" w:cs="Arial"/>
          <w:sz w:val="20"/>
          <w:szCs w:val="20"/>
        </w:rPr>
        <w:t>a</w:t>
      </w:r>
      <w:r w:rsidR="005014BA" w:rsidRPr="009267B6">
        <w:rPr>
          <w:rFonts w:ascii="Arial" w:hAnsi="Arial" w:cs="Arial"/>
          <w:sz w:val="20"/>
          <w:szCs w:val="20"/>
        </w:rPr>
        <w:t xml:space="preserve"> Nr </w:t>
      </w:r>
      <w:sdt>
        <w:sdtPr>
          <w:rPr>
            <w:rFonts w:ascii="Arial" w:hAnsi="Arial" w:cs="Arial"/>
            <w:sz w:val="20"/>
            <w:szCs w:val="20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422710" w:rsidRPr="009267B6">
            <w:rPr>
              <w:rFonts w:ascii="Arial" w:hAnsi="Arial" w:cs="Arial"/>
              <w:sz w:val="20"/>
              <w:szCs w:val="20"/>
            </w:rPr>
            <w:t>361</w:t>
          </w:r>
        </w:sdtContent>
      </w:sdt>
    </w:p>
    <w:p w14:paraId="5979CDBA" w14:textId="77777777" w:rsidR="00014CEB" w:rsidRDefault="005014BA" w:rsidP="00014CEB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9267B6">
        <w:rPr>
          <w:rFonts w:ascii="Arial" w:hAnsi="Arial" w:cs="Arial"/>
          <w:sz w:val="20"/>
          <w:szCs w:val="20"/>
        </w:rPr>
        <w:t>Prezydenta Miasta</w:t>
      </w:r>
      <w:r w:rsidR="00FF46EC" w:rsidRPr="009267B6">
        <w:rPr>
          <w:rFonts w:ascii="Arial" w:hAnsi="Arial" w:cs="Arial"/>
          <w:sz w:val="20"/>
          <w:szCs w:val="20"/>
        </w:rPr>
        <w:t xml:space="preserve"> </w:t>
      </w:r>
      <w:r w:rsidRPr="009267B6">
        <w:rPr>
          <w:rFonts w:ascii="Arial" w:hAnsi="Arial" w:cs="Arial"/>
          <w:sz w:val="20"/>
          <w:szCs w:val="20"/>
        </w:rPr>
        <w:t>Piotrkowa Trybunalskiego</w:t>
      </w:r>
    </w:p>
    <w:p w14:paraId="7ADF9E99" w14:textId="30D6399B" w:rsidR="005014BA" w:rsidRDefault="005014BA" w:rsidP="00014CEB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9267B6">
        <w:rPr>
          <w:rFonts w:ascii="Arial" w:hAnsi="Arial" w:cs="Arial"/>
          <w:sz w:val="20"/>
          <w:szCs w:val="20"/>
        </w:rPr>
        <w:t>z dnia</w:t>
      </w:r>
      <w:r w:rsidR="00A71B6B" w:rsidRPr="009267B6">
        <w:rPr>
          <w:rFonts w:ascii="Arial" w:hAnsi="Arial" w:cs="Arial"/>
          <w:sz w:val="20"/>
          <w:szCs w:val="20"/>
        </w:rPr>
        <w:t xml:space="preserve"> </w:t>
      </w:r>
      <w:bookmarkStart w:id="0" w:name="ezdDataPodpisu"/>
      <w:bookmarkEnd w:id="0"/>
      <w:r w:rsidRPr="009267B6">
        <w:rPr>
          <w:rFonts w:ascii="Arial" w:hAnsi="Arial" w:cs="Arial"/>
          <w:sz w:val="20"/>
          <w:szCs w:val="20"/>
        </w:rPr>
        <w:t>roku</w:t>
      </w:r>
    </w:p>
    <w:p w14:paraId="6D829183" w14:textId="77777777" w:rsidR="00014CEB" w:rsidRPr="009267B6" w:rsidRDefault="00014CEB" w:rsidP="00014CEB">
      <w:pPr>
        <w:spacing w:after="0" w:line="288" w:lineRule="auto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dt>
      <w:sdtPr>
        <w:rPr>
          <w:rFonts w:ascii="Arial" w:hAnsi="Arial" w:cs="Arial"/>
          <w:sz w:val="20"/>
          <w:szCs w:val="20"/>
        </w:rPr>
        <w:id w:val="785394786"/>
        <w:placeholder>
          <w:docPart w:val="0BABC2FF405F44A88609AD01C89B2D81"/>
        </w:placeholder>
      </w:sdtPr>
      <w:sdtEndPr/>
      <w:sdtContent>
        <w:bookmarkStart w:id="2" w:name="_Hlk210732383" w:displacedByCustomXml="prev"/>
        <w:p w14:paraId="467824EB" w14:textId="65720A1A" w:rsidR="00035799" w:rsidRPr="009267B6" w:rsidRDefault="009267B6" w:rsidP="009267B6">
          <w:pPr>
            <w:rPr>
              <w:rFonts w:ascii="Arial" w:eastAsia="Tahoma" w:hAnsi="Arial" w:cs="Arial"/>
              <w:bCs/>
              <w:sz w:val="20"/>
              <w:szCs w:val="20"/>
              <w:lang w:eastAsia="pl-PL"/>
            </w:rPr>
          </w:pPr>
          <w:r>
            <w:rPr>
              <w:rFonts w:ascii="Arial" w:eastAsia="Tahoma" w:hAnsi="Arial" w:cs="Arial"/>
              <w:bCs/>
              <w:sz w:val="20"/>
              <w:szCs w:val="20"/>
              <w:lang w:eastAsia="pl-PL"/>
            </w:rPr>
            <w:t>W</w:t>
          </w:r>
          <w:r w:rsidRPr="009267B6">
            <w:rPr>
              <w:rFonts w:ascii="Arial" w:eastAsia="Tahoma" w:hAnsi="Arial" w:cs="Arial"/>
              <w:bCs/>
              <w:sz w:val="20"/>
              <w:szCs w:val="20"/>
              <w:lang w:eastAsia="pl-PL"/>
            </w:rPr>
            <w:t>ykaz nieruchomoś</w:t>
          </w:r>
          <w:r>
            <w:rPr>
              <w:rFonts w:ascii="Arial" w:eastAsia="Tahoma" w:hAnsi="Arial" w:cs="Arial"/>
              <w:bCs/>
              <w:sz w:val="20"/>
              <w:szCs w:val="20"/>
              <w:lang w:eastAsia="pl-PL"/>
            </w:rPr>
            <w:t>ci stanowiących własność gminy Miasto Piotrków Trybunalski, położonych w Piotrkowie Trybunalskim przy ul. Zgodnej i G</w:t>
          </w:r>
          <w:r w:rsidRPr="009267B6">
            <w:rPr>
              <w:rFonts w:ascii="Arial" w:eastAsia="Tahoma" w:hAnsi="Arial" w:cs="Arial"/>
              <w:bCs/>
              <w:sz w:val="20"/>
              <w:szCs w:val="20"/>
              <w:lang w:eastAsia="pl-PL"/>
            </w:rPr>
            <w:t>ospodarczej, przeznaczonych do sprzedaży, w trybie bezprzetargowym, w celu poprawienia warunków zagospodarowania nieruchomości przyległych</w:t>
          </w:r>
        </w:p>
        <w:p w14:paraId="0A2D2EE1" w14:textId="77777777" w:rsidR="00035799" w:rsidRPr="009267B6" w:rsidRDefault="00035799" w:rsidP="009267B6">
          <w:pPr>
            <w:widowControl w:val="0"/>
            <w:tabs>
              <w:tab w:val="left" w:pos="4680"/>
            </w:tabs>
            <w:suppressAutoHyphens/>
            <w:spacing w:after="0" w:line="240" w:lineRule="auto"/>
            <w:ind w:right="45"/>
            <w:outlineLvl w:val="0"/>
            <w:rPr>
              <w:rFonts w:ascii="Arial" w:eastAsia="Tahoma" w:hAnsi="Arial" w:cs="Arial"/>
              <w:sz w:val="20"/>
              <w:szCs w:val="20"/>
              <w:lang w:eastAsia="pl-PL"/>
            </w:rPr>
          </w:pPr>
          <w:r w:rsidRPr="009267B6">
            <w:rPr>
              <w:rFonts w:ascii="Arial" w:eastAsia="Tahoma" w:hAnsi="Arial" w:cs="Arial"/>
              <w:sz w:val="20"/>
              <w:szCs w:val="20"/>
              <w:lang w:eastAsia="pl-PL"/>
            </w:rPr>
            <w:t>Na podstawie art. 35 ust. 1 i 2 ustawy z dnia 21 sierpnia 1997 roku o gospodarce nieruchomościami (Dz. U. z 2024 r. poz. 1145 ze zm.) Prezydent Miasta Piotrkowa Trybunalskiego podaje do publicznej wiadomości poniższy wykaz nieruchomości stanowiących własność gminy Miasta Piotrkowa Trybunalskiego, przeznaczonych do sprzedaży, w trybie bezprzetargowym, jako grunty przyległe, niezbędne do poprawienia warunków zagospodarowania sąsiednich nieruchomości</w:t>
          </w:r>
        </w:p>
        <w:p w14:paraId="47415BAE" w14:textId="77777777" w:rsidR="00035799" w:rsidRPr="009267B6" w:rsidRDefault="00035799" w:rsidP="009267B6">
          <w:pPr>
            <w:widowControl w:val="0"/>
            <w:tabs>
              <w:tab w:val="left" w:pos="4680"/>
            </w:tabs>
            <w:suppressAutoHyphens/>
            <w:spacing w:after="0" w:line="240" w:lineRule="auto"/>
            <w:ind w:right="45"/>
            <w:outlineLvl w:val="0"/>
            <w:rPr>
              <w:rFonts w:ascii="Arial" w:eastAsia="Tahoma" w:hAnsi="Arial" w:cs="Arial"/>
              <w:sz w:val="20"/>
              <w:szCs w:val="20"/>
              <w:lang w:eastAsia="pl-PL"/>
            </w:rPr>
          </w:pPr>
        </w:p>
        <w:tbl>
          <w:tblPr>
            <w:tblStyle w:val="Tabela-Siatka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872"/>
            <w:gridCol w:w="1675"/>
            <w:gridCol w:w="992"/>
            <w:gridCol w:w="1418"/>
            <w:gridCol w:w="2268"/>
            <w:gridCol w:w="1784"/>
            <w:gridCol w:w="1669"/>
            <w:gridCol w:w="26"/>
            <w:gridCol w:w="1476"/>
            <w:gridCol w:w="1814"/>
          </w:tblGrid>
          <w:tr w:rsidR="00035799" w:rsidRPr="009267B6" w14:paraId="642BE3DE" w14:textId="77777777" w:rsidTr="00DB4DAA">
            <w:tc>
              <w:tcPr>
                <w:tcW w:w="872" w:type="dxa"/>
                <w:shd w:val="clear" w:color="auto" w:fill="D9D9D9"/>
              </w:tcPr>
              <w:p w14:paraId="5428A910" w14:textId="2627CE3E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bCs/>
                    <w:sz w:val="20"/>
                    <w:szCs w:val="20"/>
                    <w:lang w:eastAsia="pl-PL"/>
                  </w:rPr>
                  <w:t>Lp</w:t>
                </w:r>
              </w:p>
            </w:tc>
            <w:tc>
              <w:tcPr>
                <w:tcW w:w="1675" w:type="dxa"/>
                <w:shd w:val="clear" w:color="auto" w:fill="D9D9D9"/>
              </w:tcPr>
              <w:p w14:paraId="601FD9FE" w14:textId="77777777" w:rsidR="00035799" w:rsidRPr="009267B6" w:rsidRDefault="00035799" w:rsidP="009267B6">
                <w:pPr>
                  <w:widowControl w:val="0"/>
                  <w:suppressAutoHyphens/>
                  <w:rPr>
                    <w:rFonts w:ascii="Arial" w:eastAsia="Tahoma" w:hAnsi="Arial" w:cs="Arial"/>
                    <w:bCs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bCs/>
                    <w:sz w:val="20"/>
                    <w:szCs w:val="20"/>
                    <w:lang w:eastAsia="pl-PL"/>
                  </w:rPr>
                  <w:t xml:space="preserve">Oznaczenie nieruchomości, </w:t>
                </w:r>
              </w:p>
              <w:p w14:paraId="40FACB53" w14:textId="77777777" w:rsidR="00035799" w:rsidRPr="009267B6" w:rsidRDefault="00035799" w:rsidP="009267B6">
                <w:pPr>
                  <w:widowControl w:val="0"/>
                  <w:suppressAutoHyphens/>
                  <w:rPr>
                    <w:rFonts w:ascii="Arial" w:eastAsia="Tahoma" w:hAnsi="Arial" w:cs="Arial"/>
                    <w:bCs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bCs/>
                    <w:sz w:val="20"/>
                    <w:szCs w:val="20"/>
                    <w:lang w:eastAsia="pl-PL"/>
                  </w:rPr>
                  <w:t>miejsce położenia,</w:t>
                </w:r>
              </w:p>
              <w:p w14:paraId="36EAB19E" w14:textId="70571820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bCs/>
                    <w:sz w:val="20"/>
                    <w:szCs w:val="20"/>
                    <w:lang w:eastAsia="pl-PL"/>
                  </w:rPr>
                  <w:t>numer księgi wieczystej</w:t>
                </w:r>
              </w:p>
            </w:tc>
            <w:tc>
              <w:tcPr>
                <w:tcW w:w="992" w:type="dxa"/>
                <w:shd w:val="clear" w:color="auto" w:fill="D9D9D9"/>
              </w:tcPr>
              <w:p w14:paraId="64ACCCF8" w14:textId="58456FD2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bCs/>
                    <w:sz w:val="20"/>
                    <w:szCs w:val="20"/>
                    <w:lang w:eastAsia="pl-PL"/>
                  </w:rPr>
                  <w:t>Nr działki</w:t>
                </w:r>
              </w:p>
            </w:tc>
            <w:tc>
              <w:tcPr>
                <w:tcW w:w="1418" w:type="dxa"/>
                <w:shd w:val="clear" w:color="auto" w:fill="D9D9D9"/>
              </w:tcPr>
              <w:p w14:paraId="54402660" w14:textId="7ADFB037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bCs/>
                    <w:sz w:val="20"/>
                    <w:szCs w:val="20"/>
                    <w:lang w:eastAsia="pl-PL"/>
                  </w:rPr>
                  <w:t>Powierzchnia</w:t>
                </w:r>
              </w:p>
            </w:tc>
            <w:tc>
              <w:tcPr>
                <w:tcW w:w="2268" w:type="dxa"/>
                <w:shd w:val="clear" w:color="auto" w:fill="D9D9D9"/>
              </w:tcPr>
              <w:p w14:paraId="72782184" w14:textId="77777777" w:rsidR="00035799" w:rsidRPr="009267B6" w:rsidRDefault="00035799" w:rsidP="009267B6">
                <w:pPr>
                  <w:widowControl w:val="0"/>
                  <w:suppressAutoHyphens/>
                  <w:rPr>
                    <w:rFonts w:ascii="Arial" w:eastAsia="Tahoma" w:hAnsi="Arial" w:cs="Arial"/>
                    <w:bCs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bCs/>
                    <w:sz w:val="20"/>
                    <w:szCs w:val="20"/>
                    <w:lang w:eastAsia="pl-PL"/>
                  </w:rPr>
                  <w:t xml:space="preserve">Opis </w:t>
                </w:r>
              </w:p>
              <w:p w14:paraId="3C0D1A60" w14:textId="05AAC8C2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bCs/>
                    <w:sz w:val="20"/>
                    <w:szCs w:val="20"/>
                    <w:lang w:eastAsia="pl-PL"/>
                  </w:rPr>
                  <w:t>nieruchomości</w:t>
                </w:r>
              </w:p>
            </w:tc>
            <w:tc>
              <w:tcPr>
                <w:tcW w:w="1784" w:type="dxa"/>
                <w:shd w:val="clear" w:color="auto" w:fill="D9D9D9"/>
              </w:tcPr>
              <w:p w14:paraId="5DB9A51F" w14:textId="03E45B13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bCs/>
                    <w:sz w:val="20"/>
                    <w:szCs w:val="20"/>
                    <w:lang w:eastAsia="pl-PL"/>
                  </w:rPr>
                  <w:t>Przeznaczenie nieruchomości w miejscowym planie zagospodarowania przestrzennego</w:t>
                </w:r>
              </w:p>
            </w:tc>
            <w:tc>
              <w:tcPr>
                <w:tcW w:w="1695" w:type="dxa"/>
                <w:gridSpan w:val="2"/>
                <w:shd w:val="clear" w:color="auto" w:fill="D9D9D9"/>
              </w:tcPr>
              <w:p w14:paraId="360084B5" w14:textId="6A869BE6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bCs/>
                    <w:sz w:val="20"/>
                    <w:szCs w:val="20"/>
                    <w:lang w:eastAsia="pl-PL"/>
                  </w:rPr>
                  <w:t>Forma zbycia</w:t>
                </w:r>
              </w:p>
            </w:tc>
            <w:tc>
              <w:tcPr>
                <w:tcW w:w="1476" w:type="dxa"/>
                <w:shd w:val="clear" w:color="auto" w:fill="D9D9D9"/>
              </w:tcPr>
              <w:p w14:paraId="4CEFE38D" w14:textId="4917C901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bCs/>
                    <w:sz w:val="20"/>
                    <w:szCs w:val="20"/>
                    <w:lang w:eastAsia="pl-PL"/>
                  </w:rPr>
                  <w:t>Cena nieruchomości</w:t>
                </w:r>
              </w:p>
            </w:tc>
            <w:tc>
              <w:tcPr>
                <w:tcW w:w="1814" w:type="dxa"/>
                <w:shd w:val="clear" w:color="auto" w:fill="D9D9D9"/>
              </w:tcPr>
              <w:p w14:paraId="29F98339" w14:textId="30870E45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bCs/>
                    <w:sz w:val="20"/>
                    <w:szCs w:val="20"/>
                    <w:lang w:eastAsia="pl-PL"/>
                  </w:rPr>
                  <w:t>Uwagi</w:t>
                </w:r>
              </w:p>
            </w:tc>
          </w:tr>
          <w:tr w:rsidR="00DB4DAA" w:rsidRPr="009267B6" w14:paraId="68E0728C" w14:textId="77777777" w:rsidTr="00DB4DAA">
            <w:tc>
              <w:tcPr>
                <w:tcW w:w="872" w:type="dxa"/>
              </w:tcPr>
              <w:p w14:paraId="3BE31577" w14:textId="77777777" w:rsidR="00035799" w:rsidRPr="009267B6" w:rsidRDefault="00035799" w:rsidP="009267B6">
                <w:pPr>
                  <w:widowControl w:val="0"/>
                  <w:suppressAutoHyphens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  <w:t>1.</w:t>
                </w:r>
              </w:p>
              <w:p w14:paraId="02D1A467" w14:textId="77777777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1675" w:type="dxa"/>
              </w:tcPr>
              <w:p w14:paraId="11BB44FC" w14:textId="77777777" w:rsidR="00035799" w:rsidRPr="009267B6" w:rsidRDefault="00035799" w:rsidP="009267B6">
                <w:pPr>
                  <w:tabs>
                    <w:tab w:val="left" w:pos="360"/>
                  </w:tabs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obręb 11</w:t>
                </w:r>
                <w:r w:rsidRPr="009267B6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  <w:t>,</w:t>
                </w:r>
              </w:p>
              <w:p w14:paraId="5852275A" w14:textId="77777777" w:rsidR="00035799" w:rsidRPr="009267B6" w:rsidRDefault="00035799" w:rsidP="009267B6">
                <w:pPr>
                  <w:tabs>
                    <w:tab w:val="left" w:pos="360"/>
                  </w:tabs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  <w:t>ul. Zgodna</w:t>
                </w:r>
              </w:p>
              <w:p w14:paraId="3F9CB459" w14:textId="1300E9A2" w:rsidR="00035799" w:rsidRPr="009267B6" w:rsidRDefault="00035799" w:rsidP="009267B6">
                <w:pPr>
                  <w:widowControl w:val="0"/>
                  <w:suppressAutoHyphens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  <w:t>PT1P/00077262/0</w:t>
                </w:r>
              </w:p>
            </w:tc>
            <w:tc>
              <w:tcPr>
                <w:tcW w:w="992" w:type="dxa"/>
              </w:tcPr>
              <w:p w14:paraId="79BF8542" w14:textId="5DBB68C8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bCs/>
                    <w:sz w:val="20"/>
                    <w:szCs w:val="20"/>
                    <w:lang w:eastAsia="pl-PL"/>
                  </w:rPr>
                  <w:t>149/3</w:t>
                </w:r>
              </w:p>
            </w:tc>
            <w:tc>
              <w:tcPr>
                <w:tcW w:w="1418" w:type="dxa"/>
              </w:tcPr>
              <w:p w14:paraId="43683E65" w14:textId="79AF9F96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bCs/>
                    <w:sz w:val="20"/>
                    <w:szCs w:val="20"/>
                    <w:lang w:eastAsia="pl-PL"/>
                  </w:rPr>
                  <w:t>0,0740 ha</w:t>
                </w:r>
                <w:r w:rsidRPr="009267B6"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  <w:t xml:space="preserve"> </w:t>
                </w:r>
              </w:p>
            </w:tc>
            <w:tc>
              <w:tcPr>
                <w:tcW w:w="2268" w:type="dxa"/>
              </w:tcPr>
              <w:p w14:paraId="618A4303" w14:textId="77777777" w:rsidR="00035799" w:rsidRPr="009267B6" w:rsidRDefault="00035799" w:rsidP="009267B6">
                <w:pPr>
                  <w:widowControl w:val="0"/>
                  <w:suppressAutoHyphens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  <w:t xml:space="preserve">Nieruchomość niezabudowana, z bezpośrednim dostępem do drogi publicznej- ulicy Zgodnej. Teren działki płaski, porośnięty drzewami. </w:t>
                </w:r>
              </w:p>
              <w:p w14:paraId="1039BE4F" w14:textId="77777777" w:rsidR="00035799" w:rsidRPr="009267B6" w:rsidRDefault="00035799" w:rsidP="009267B6">
                <w:pPr>
                  <w:widowControl w:val="0"/>
                  <w:suppressAutoHyphens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</w:p>
              <w:p w14:paraId="112E87A1" w14:textId="1246859D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  <w:t>Na działce znajduje się infrastruktura techniczna w postaci odcinka przewodu elektroenergetycznego niskiego napięcia oznaczonego eN.</w:t>
                </w:r>
              </w:p>
            </w:tc>
            <w:tc>
              <w:tcPr>
                <w:tcW w:w="1784" w:type="dxa"/>
              </w:tcPr>
              <w:p w14:paraId="36809241" w14:textId="77777777" w:rsidR="00035799" w:rsidRPr="009267B6" w:rsidRDefault="00035799" w:rsidP="009267B6">
                <w:pPr>
                  <w:widowControl w:val="0"/>
                  <w:tabs>
                    <w:tab w:val="left" w:pos="284"/>
                  </w:tabs>
                  <w:suppressAutoHyphens/>
                  <w:rPr>
                    <w:rFonts w:ascii="Arial" w:eastAsia="Tahoma" w:hAnsi="Arial" w:cs="Arial"/>
                    <w:bCs/>
                    <w:iCs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bCs/>
                    <w:iCs/>
                    <w:sz w:val="20"/>
                    <w:szCs w:val="20"/>
                    <w:lang w:eastAsia="pl-PL"/>
                  </w:rPr>
                  <w:t>Przedmiotowa działka znajduje się w terenie, dla którego nie obowiązuje miejscowy plan zagospodarowania przestrzennego, ani też nie została wydana decyzja o warunkach zabudowy i zagospodarowania terenu.</w:t>
                </w:r>
              </w:p>
              <w:p w14:paraId="7D77A69E" w14:textId="77777777" w:rsidR="00035799" w:rsidRPr="009267B6" w:rsidRDefault="00035799" w:rsidP="009267B6">
                <w:pPr>
                  <w:widowControl w:val="0"/>
                  <w:tabs>
                    <w:tab w:val="left" w:pos="284"/>
                  </w:tabs>
                  <w:suppressAutoHyphens/>
                  <w:rPr>
                    <w:rFonts w:ascii="Arial" w:eastAsia="Tahoma" w:hAnsi="Arial" w:cs="Arial"/>
                    <w:bCs/>
                    <w:iCs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bCs/>
                    <w:iCs/>
                    <w:sz w:val="20"/>
                    <w:szCs w:val="20"/>
                    <w:lang w:eastAsia="pl-PL"/>
                  </w:rPr>
                  <w:t xml:space="preserve">Zgodnie ze Studium uwarunkowań i kierunków zagospodarowania przestrzennego Miasta Piotrkowa Trybunalskiego, działka numer 149/3 obręb 11 </w:t>
                </w:r>
                <w:r w:rsidRPr="009267B6">
                  <w:rPr>
                    <w:rFonts w:ascii="Arial" w:eastAsia="Tahoma" w:hAnsi="Arial" w:cs="Arial"/>
                    <w:bCs/>
                    <w:iCs/>
                    <w:sz w:val="20"/>
                    <w:szCs w:val="20"/>
                    <w:lang w:eastAsia="pl-PL"/>
                  </w:rPr>
                  <w:lastRenderedPageBreak/>
                  <w:t>znajduje się w terenie oznaczonym symbolem R- grunty rolne.</w:t>
                </w:r>
              </w:p>
              <w:p w14:paraId="4115E449" w14:textId="724007E3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MS Mincho" w:hAnsi="Arial" w:cs="Arial"/>
                    <w:sz w:val="20"/>
                    <w:szCs w:val="20"/>
                    <w:lang w:eastAsia="pl-PL"/>
                  </w:rPr>
                  <w:t>Szczegółowe informacje w przedmiocie dopuszczalnego sposobu zagospodarowania przedmiotowej nieruchomości uzyskać można w Pracowni Planowania Przestrzennego w Piotrkowie Trybunalskim, ul. Farna 8, tel. 44 732-15-10.</w:t>
                </w:r>
              </w:p>
            </w:tc>
            <w:tc>
              <w:tcPr>
                <w:tcW w:w="1695" w:type="dxa"/>
                <w:gridSpan w:val="2"/>
              </w:tcPr>
              <w:p w14:paraId="7FE39237" w14:textId="5AA32C78" w:rsidR="00035799" w:rsidRPr="009267B6" w:rsidRDefault="00035799" w:rsidP="009267B6">
                <w:pPr>
                  <w:widowControl w:val="0"/>
                  <w:suppressAutoHyphens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  <w:lastRenderedPageBreak/>
                  <w:t xml:space="preserve">Tryb bezprzetargowy– na podstawie art. 37 ust. 2 pkt 6 ustawy z dnia 21 sierpnia 1997r. o gospodarce nieruchomościami (Dz. U. z 2024 r. poz. 1145 ze zm.) </w:t>
                </w:r>
              </w:p>
            </w:tc>
            <w:tc>
              <w:tcPr>
                <w:tcW w:w="1476" w:type="dxa"/>
              </w:tcPr>
              <w:p w14:paraId="485A217D" w14:textId="77777777" w:rsidR="00035799" w:rsidRPr="009267B6" w:rsidRDefault="00035799" w:rsidP="009267B6">
                <w:pPr>
                  <w:contextualSpacing/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  <w:t>69.400,00 zł</w:t>
                </w:r>
              </w:p>
              <w:p w14:paraId="44C39433" w14:textId="77777777" w:rsidR="00035799" w:rsidRPr="009267B6" w:rsidRDefault="00035799" w:rsidP="009267B6">
                <w:pPr>
                  <w:contextualSpacing/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</w:pPr>
              </w:p>
              <w:p w14:paraId="1E192F90" w14:textId="77777777" w:rsidR="00035799" w:rsidRPr="009267B6" w:rsidRDefault="00035799" w:rsidP="009267B6">
                <w:pPr>
                  <w:contextualSpacing/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  <w:t>Sprzedaż nieruchomości podlega zwolnieniu z podatku VAT, stosownie do art. 43 ust. 1 pkt 9 ustawy z dnia 11 marca 2004 r. o podatku od towarów i usług (Dz.U. z 2025 r., poz. 775 ze zm.).</w:t>
                </w:r>
              </w:p>
              <w:p w14:paraId="586D560B" w14:textId="77777777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1814" w:type="dxa"/>
              </w:tcPr>
              <w:p w14:paraId="5CD7D4E1" w14:textId="77777777" w:rsidR="00035799" w:rsidRPr="009267B6" w:rsidRDefault="001C3D36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Nabywca odpowiada </w:t>
                </w:r>
                <w:r w:rsidR="00035799" w:rsidRPr="009267B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za samodzielne zapoznanie się ze stanem prawnym i faktycznym nieruchomości, aktualnym sposobem jej wykorzystania, parametrami oraz możliwością zagospodarowania. Rozpoznanie wszelkich warunków faktycznych i prawnych niezbędnych do realizacji planowanej inwestycji, leży w całości po stronie nabywcy i stanowi obszar </w:t>
                </w:r>
                <w:r w:rsidR="00035799" w:rsidRPr="009267B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lastRenderedPageBreak/>
                  <w:t>jego ryzyka.</w:t>
                </w:r>
              </w:p>
              <w:p w14:paraId="5F0EAD2E" w14:textId="77777777" w:rsidR="005A2714" w:rsidRPr="009267B6" w:rsidRDefault="005A2714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758ACCD1" w14:textId="547ABE3E" w:rsidR="005A2714" w:rsidRPr="009267B6" w:rsidRDefault="005A2714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  <w:t>Sprzedaż nieruchomości odbywa się w stanie istniejącym. Sprzedający nie odpowiada za wady ukryte zbywanej nieruchomości, w tym także za ewentualnie nieujawniony w Miejskim Ośrodku Dokumentacji Geodezyjnej i Kartograficznej w Piotrkowie Trybunalskim, przebieg podziemnych mediów.</w:t>
                </w:r>
              </w:p>
            </w:tc>
          </w:tr>
          <w:tr w:rsidR="00DB4DAA" w:rsidRPr="009267B6" w14:paraId="345EE5B0" w14:textId="77777777" w:rsidTr="00DB4DAA">
            <w:tc>
              <w:tcPr>
                <w:tcW w:w="872" w:type="dxa"/>
              </w:tcPr>
              <w:p w14:paraId="0597522F" w14:textId="38AEB68B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  <w:lastRenderedPageBreak/>
                  <w:t>2.</w:t>
                </w:r>
              </w:p>
            </w:tc>
            <w:tc>
              <w:tcPr>
                <w:tcW w:w="1675" w:type="dxa"/>
              </w:tcPr>
              <w:p w14:paraId="219DC78B" w14:textId="77777777" w:rsidR="00035799" w:rsidRPr="009267B6" w:rsidRDefault="00035799" w:rsidP="009267B6">
                <w:pPr>
                  <w:tabs>
                    <w:tab w:val="left" w:pos="360"/>
                  </w:tabs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obręb 11</w:t>
                </w:r>
                <w:r w:rsidRPr="009267B6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  <w:t>,</w:t>
                </w:r>
              </w:p>
              <w:p w14:paraId="3CFCD931" w14:textId="77777777" w:rsidR="00035799" w:rsidRPr="009267B6" w:rsidRDefault="00035799" w:rsidP="009267B6">
                <w:pPr>
                  <w:tabs>
                    <w:tab w:val="left" w:pos="360"/>
                  </w:tabs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  <w:t>ul. Zgodna</w:t>
                </w:r>
              </w:p>
              <w:p w14:paraId="4B250165" w14:textId="77777777" w:rsidR="00035799" w:rsidRPr="009267B6" w:rsidRDefault="00035799" w:rsidP="009267B6">
                <w:pPr>
                  <w:widowControl w:val="0"/>
                  <w:suppressAutoHyphens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  <w:t>PT1P/00077262/0</w:t>
                </w:r>
              </w:p>
              <w:p w14:paraId="19388914" w14:textId="77777777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992" w:type="dxa"/>
              </w:tcPr>
              <w:p w14:paraId="28EF79FE" w14:textId="65B35C4D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bCs/>
                    <w:sz w:val="20"/>
                    <w:szCs w:val="20"/>
                    <w:lang w:eastAsia="pl-PL"/>
                  </w:rPr>
                  <w:t>149/4</w:t>
                </w:r>
              </w:p>
            </w:tc>
            <w:tc>
              <w:tcPr>
                <w:tcW w:w="1418" w:type="dxa"/>
              </w:tcPr>
              <w:p w14:paraId="0627C1D2" w14:textId="2CE8E34B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bCs/>
                    <w:sz w:val="20"/>
                    <w:szCs w:val="20"/>
                    <w:lang w:eastAsia="pl-PL"/>
                  </w:rPr>
                  <w:t>0,0062 ha</w:t>
                </w:r>
              </w:p>
            </w:tc>
            <w:tc>
              <w:tcPr>
                <w:tcW w:w="2268" w:type="dxa"/>
              </w:tcPr>
              <w:p w14:paraId="7D648E9B" w14:textId="77777777" w:rsidR="00035799" w:rsidRPr="009267B6" w:rsidRDefault="00035799" w:rsidP="009267B6">
                <w:pPr>
                  <w:widowControl w:val="0"/>
                  <w:suppressAutoHyphens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  <w:t xml:space="preserve">Nieruchomość niezabudowana, z bezpośrednim dostępem do drogi publicznej- ulicy Zgodnej. Teren działki płaski, porośnięty drzewami. </w:t>
                </w:r>
              </w:p>
              <w:p w14:paraId="15BFD2C3" w14:textId="77777777" w:rsidR="00035799" w:rsidRPr="009267B6" w:rsidRDefault="00035799" w:rsidP="009267B6">
                <w:pPr>
                  <w:widowControl w:val="0"/>
                  <w:suppressAutoHyphens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</w:p>
              <w:p w14:paraId="3E433FC6" w14:textId="7B053F74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  <w:t>Na działce znajduje się infrastruktura techniczna w postaci odcinka przewodu elektroenergetycznego niskiego napięcia oznaczonego eN.</w:t>
                </w:r>
              </w:p>
            </w:tc>
            <w:tc>
              <w:tcPr>
                <w:tcW w:w="1784" w:type="dxa"/>
              </w:tcPr>
              <w:p w14:paraId="13604353" w14:textId="77777777" w:rsidR="00035799" w:rsidRPr="009267B6" w:rsidRDefault="00035799" w:rsidP="009267B6">
                <w:pPr>
                  <w:widowControl w:val="0"/>
                  <w:tabs>
                    <w:tab w:val="left" w:pos="284"/>
                  </w:tabs>
                  <w:suppressAutoHyphens/>
                  <w:rPr>
                    <w:rFonts w:ascii="Arial" w:eastAsia="Tahoma" w:hAnsi="Arial" w:cs="Arial"/>
                    <w:bCs/>
                    <w:iCs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bCs/>
                    <w:iCs/>
                    <w:sz w:val="20"/>
                    <w:szCs w:val="20"/>
                    <w:lang w:eastAsia="pl-PL"/>
                  </w:rPr>
                  <w:t>Przedmiotowa działka znajduje się w terenie, dla którego nie obowiązuje miejscowy plan zagospodarowania przestrzennego, ani też nie została wydana decyzja o warunkach zabudowy i zagospodarowania terenu.</w:t>
                </w:r>
              </w:p>
              <w:p w14:paraId="6F037621" w14:textId="77777777" w:rsidR="00035799" w:rsidRPr="009267B6" w:rsidRDefault="00035799" w:rsidP="009267B6">
                <w:pPr>
                  <w:widowControl w:val="0"/>
                  <w:tabs>
                    <w:tab w:val="left" w:pos="284"/>
                  </w:tabs>
                  <w:suppressAutoHyphens/>
                  <w:rPr>
                    <w:rFonts w:ascii="Arial" w:eastAsia="Tahoma" w:hAnsi="Arial" w:cs="Arial"/>
                    <w:bCs/>
                    <w:iCs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bCs/>
                    <w:iCs/>
                    <w:sz w:val="20"/>
                    <w:szCs w:val="20"/>
                    <w:lang w:eastAsia="pl-PL"/>
                  </w:rPr>
                  <w:t xml:space="preserve">Zgodnie ze Studium uwarunkowań i kierunków </w:t>
                </w:r>
                <w:r w:rsidRPr="009267B6">
                  <w:rPr>
                    <w:rFonts w:ascii="Arial" w:eastAsia="Tahoma" w:hAnsi="Arial" w:cs="Arial"/>
                    <w:bCs/>
                    <w:iCs/>
                    <w:sz w:val="20"/>
                    <w:szCs w:val="20"/>
                    <w:lang w:eastAsia="pl-PL"/>
                  </w:rPr>
                  <w:lastRenderedPageBreak/>
                  <w:t>zagospodarowania przestrzennego Miasta Piotrkowa Trybunalskiego, działka numer 149/4 obręb 11 znajduje się w terenie oznaczonym symbolem R- grunty rolne.</w:t>
                </w:r>
              </w:p>
              <w:p w14:paraId="34F26865" w14:textId="72D7CBEB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MS Mincho" w:hAnsi="Arial" w:cs="Arial"/>
                    <w:sz w:val="20"/>
                    <w:szCs w:val="20"/>
                    <w:lang w:eastAsia="pl-PL"/>
                  </w:rPr>
                  <w:t>Szczegółowe informacje w przedmiocie dopuszczalnego sposobu zagospodarowania przedmiotowej nieruchomości uzyskać można w Pracowni Planowania Przestrzennego w Piotrkowie Trybunalskim, ul. Farna 8, tel. 44 732-15-10.</w:t>
                </w:r>
              </w:p>
            </w:tc>
            <w:tc>
              <w:tcPr>
                <w:tcW w:w="1669" w:type="dxa"/>
              </w:tcPr>
              <w:p w14:paraId="5BB6E0FE" w14:textId="77777777" w:rsidR="00035799" w:rsidRPr="009267B6" w:rsidRDefault="00035799" w:rsidP="009267B6">
                <w:pPr>
                  <w:widowControl w:val="0"/>
                  <w:suppressAutoHyphens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  <w:lastRenderedPageBreak/>
                  <w:t>Tryb bezprzetargowy– na podstawie art. 37 ust. 2 pkt 6 ustawy z dnia 21 sierpnia 1997r. o gospodarce nieruchomościami (Dz. U. z 2024 r. poz. 1145 ze zm.)</w:t>
                </w:r>
              </w:p>
              <w:p w14:paraId="529BBFE2" w14:textId="77777777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1502" w:type="dxa"/>
                <w:gridSpan w:val="2"/>
              </w:tcPr>
              <w:p w14:paraId="11E25C66" w14:textId="77777777" w:rsidR="00035799" w:rsidRPr="009267B6" w:rsidRDefault="00035799" w:rsidP="009267B6">
                <w:pPr>
                  <w:contextualSpacing/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  <w:t>4.920,00 zł</w:t>
                </w:r>
              </w:p>
              <w:p w14:paraId="33FF6CA7" w14:textId="77777777" w:rsidR="00035799" w:rsidRPr="009267B6" w:rsidRDefault="00035799" w:rsidP="009267B6">
                <w:pPr>
                  <w:contextualSpacing/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</w:pPr>
              </w:p>
              <w:p w14:paraId="68F813F7" w14:textId="77777777" w:rsidR="00035799" w:rsidRPr="009267B6" w:rsidRDefault="00035799" w:rsidP="009267B6">
                <w:pPr>
                  <w:contextualSpacing/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  <w:t>Sprzedaż nieruchomości podlega zwolnieniu z podatku VAT, stosownie do art. 43 ust. 1 pkt 9 ustawy z dnia 11 marca 2004 r. o podatku od towarów i usług (Dz.U. z 2025 r., poz. 775 ze zm.).</w:t>
                </w:r>
              </w:p>
              <w:p w14:paraId="3C1D2F19" w14:textId="77777777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1814" w:type="dxa"/>
              </w:tcPr>
              <w:p w14:paraId="5231BE4B" w14:textId="77777777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Nabywca odpowiada za samodzielne zapoznanie się ze stanem prawnym i faktycznym nieruchomości, aktualnym sposobem jej wykorzystania, parametrami oraz możliwością zagospodarowania. Rozpoznanie wszelkich warunków faktycznych i prawnych niezbędnych do </w:t>
                </w:r>
                <w:r w:rsidRPr="009267B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lastRenderedPageBreak/>
                  <w:t>realizacji planowanej inwestycji, leży w całości po stronie nabywcy i stanowi obszar jego ryzyka.</w:t>
                </w:r>
              </w:p>
              <w:p w14:paraId="595E16CA" w14:textId="77777777" w:rsidR="005A2714" w:rsidRPr="009267B6" w:rsidRDefault="005A2714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46A49E6F" w14:textId="04BD65C8" w:rsidR="005A2714" w:rsidRPr="009267B6" w:rsidRDefault="005A2714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Sprzedaż nieruchomości odbywa się w stanie istniejącym. Sprzedający nie odpowiada za wady ukryte zbywanej nieruchomości, w tym także za ewentualnie nieujawniony w Miejskim Ośrodku Dokumentacji Geodezyjnej i Kartograficznej w Piotrkowie Trybunalskim, przebieg podziemnych mediów.</w:t>
                </w:r>
              </w:p>
            </w:tc>
          </w:tr>
          <w:tr w:rsidR="00DB4DAA" w:rsidRPr="009267B6" w14:paraId="68AC330E" w14:textId="77777777" w:rsidTr="00DB4DAA">
            <w:tc>
              <w:tcPr>
                <w:tcW w:w="872" w:type="dxa"/>
              </w:tcPr>
              <w:p w14:paraId="379E50DA" w14:textId="4B493563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  <w:lastRenderedPageBreak/>
                  <w:t>3.</w:t>
                </w:r>
              </w:p>
            </w:tc>
            <w:tc>
              <w:tcPr>
                <w:tcW w:w="1675" w:type="dxa"/>
              </w:tcPr>
              <w:p w14:paraId="5291E7D0" w14:textId="77777777" w:rsidR="00035799" w:rsidRPr="009267B6" w:rsidRDefault="00035799" w:rsidP="009267B6">
                <w:pPr>
                  <w:tabs>
                    <w:tab w:val="left" w:pos="360"/>
                  </w:tabs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obręb 11</w:t>
                </w:r>
                <w:r w:rsidRPr="009267B6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  <w:t>,</w:t>
                </w:r>
              </w:p>
              <w:p w14:paraId="4276F007" w14:textId="77777777" w:rsidR="00035799" w:rsidRPr="009267B6" w:rsidRDefault="00035799" w:rsidP="009267B6">
                <w:pPr>
                  <w:tabs>
                    <w:tab w:val="left" w:pos="360"/>
                  </w:tabs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  <w:t>ul. Zgodna</w:t>
                </w:r>
              </w:p>
              <w:p w14:paraId="67E311BC" w14:textId="77777777" w:rsidR="00035799" w:rsidRPr="009267B6" w:rsidRDefault="00035799" w:rsidP="009267B6">
                <w:pPr>
                  <w:widowControl w:val="0"/>
                  <w:suppressAutoHyphens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  <w:t>PT1P/00077262/0</w:t>
                </w:r>
              </w:p>
              <w:p w14:paraId="4F9092B6" w14:textId="77777777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992" w:type="dxa"/>
              </w:tcPr>
              <w:p w14:paraId="78592FF3" w14:textId="0D2C474C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bCs/>
                    <w:sz w:val="20"/>
                    <w:szCs w:val="20"/>
                    <w:lang w:eastAsia="pl-PL"/>
                  </w:rPr>
                  <w:t>149/5</w:t>
                </w:r>
              </w:p>
            </w:tc>
            <w:tc>
              <w:tcPr>
                <w:tcW w:w="1418" w:type="dxa"/>
              </w:tcPr>
              <w:p w14:paraId="10916355" w14:textId="76B7D498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bCs/>
                    <w:sz w:val="20"/>
                    <w:szCs w:val="20"/>
                    <w:lang w:eastAsia="pl-PL"/>
                  </w:rPr>
                  <w:t>0,0828 ha</w:t>
                </w:r>
              </w:p>
            </w:tc>
            <w:tc>
              <w:tcPr>
                <w:tcW w:w="2268" w:type="dxa"/>
              </w:tcPr>
              <w:p w14:paraId="0563CEF2" w14:textId="77777777" w:rsidR="00035799" w:rsidRPr="009267B6" w:rsidRDefault="00035799" w:rsidP="009267B6">
                <w:pPr>
                  <w:widowControl w:val="0"/>
                  <w:suppressAutoHyphens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  <w:t xml:space="preserve">Nieruchomość niezabudowana, z bezpośrednim dostępem do drogi publicznej- ulicy Zgodnej. Teren działki płaski, porośnięty drzewami. </w:t>
                </w:r>
              </w:p>
              <w:p w14:paraId="6106D9FA" w14:textId="77777777" w:rsidR="00035799" w:rsidRPr="009267B6" w:rsidRDefault="00035799" w:rsidP="009267B6">
                <w:pPr>
                  <w:widowControl w:val="0"/>
                  <w:suppressAutoHyphens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</w:p>
              <w:p w14:paraId="349C76A4" w14:textId="5EE53146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  <w:t xml:space="preserve">Na działce znajduje się infrastruktura techniczna w postaci odcinków przewodów elektroenergetycznych </w:t>
                </w:r>
                <w:r w:rsidRPr="009267B6"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  <w:lastRenderedPageBreak/>
                  <w:t>niskiego napięcia oznaczonych eN.</w:t>
                </w:r>
              </w:p>
            </w:tc>
            <w:tc>
              <w:tcPr>
                <w:tcW w:w="1784" w:type="dxa"/>
              </w:tcPr>
              <w:p w14:paraId="19A02206" w14:textId="77777777" w:rsidR="00035799" w:rsidRPr="009267B6" w:rsidRDefault="00035799" w:rsidP="009267B6">
                <w:pPr>
                  <w:widowControl w:val="0"/>
                  <w:tabs>
                    <w:tab w:val="left" w:pos="284"/>
                  </w:tabs>
                  <w:suppressAutoHyphens/>
                  <w:rPr>
                    <w:rFonts w:ascii="Arial" w:eastAsia="Tahoma" w:hAnsi="Arial" w:cs="Arial"/>
                    <w:bCs/>
                    <w:iCs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bCs/>
                    <w:iCs/>
                    <w:sz w:val="20"/>
                    <w:szCs w:val="20"/>
                    <w:lang w:eastAsia="pl-PL"/>
                  </w:rPr>
                  <w:lastRenderedPageBreak/>
                  <w:t xml:space="preserve">Przedmiotowa działka znajduje się w terenie, dla którego nie obowiązuje miejscowy plan zagospodarowania przestrzennego, ani też nie została wydana decyzja o warunkach zabudowy i </w:t>
                </w:r>
                <w:r w:rsidRPr="009267B6">
                  <w:rPr>
                    <w:rFonts w:ascii="Arial" w:eastAsia="Tahoma" w:hAnsi="Arial" w:cs="Arial"/>
                    <w:bCs/>
                    <w:iCs/>
                    <w:sz w:val="20"/>
                    <w:szCs w:val="20"/>
                    <w:lang w:eastAsia="pl-PL"/>
                  </w:rPr>
                  <w:lastRenderedPageBreak/>
                  <w:t>zagospodarowania terenu.</w:t>
                </w:r>
              </w:p>
              <w:p w14:paraId="2F46009F" w14:textId="77777777" w:rsidR="00035799" w:rsidRPr="009267B6" w:rsidRDefault="00035799" w:rsidP="009267B6">
                <w:pPr>
                  <w:widowControl w:val="0"/>
                  <w:tabs>
                    <w:tab w:val="left" w:pos="284"/>
                  </w:tabs>
                  <w:suppressAutoHyphens/>
                  <w:rPr>
                    <w:rFonts w:ascii="Arial" w:eastAsia="Tahoma" w:hAnsi="Arial" w:cs="Arial"/>
                    <w:bCs/>
                    <w:iCs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bCs/>
                    <w:iCs/>
                    <w:sz w:val="20"/>
                    <w:szCs w:val="20"/>
                    <w:lang w:eastAsia="pl-PL"/>
                  </w:rPr>
                  <w:t>Zgodnie ze Studium uwarunkowań i kierunków zagospodarowania przestrzennego Miasta Piotrkowa Trybunalskiego, działka numer 149/5 obręb 11 znajduje się w terenie oznaczonym symbolem R- grunty rolne.</w:t>
                </w:r>
              </w:p>
              <w:p w14:paraId="71804558" w14:textId="2B928F55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MS Mincho" w:hAnsi="Arial" w:cs="Arial"/>
                    <w:sz w:val="20"/>
                    <w:szCs w:val="20"/>
                    <w:lang w:eastAsia="pl-PL"/>
                  </w:rPr>
                  <w:t>Szczegółowe informacje w przedmiocie dopuszczalnego sposobu zagospodarowania przedmiotowej nieruchomości uzyskać można w Pracowni Planowania Przestrzennego w Piotrkowie Trybunalskim, ul. Farna 8, tel. 44 732-15-10.</w:t>
                </w:r>
              </w:p>
            </w:tc>
            <w:tc>
              <w:tcPr>
                <w:tcW w:w="1669" w:type="dxa"/>
              </w:tcPr>
              <w:p w14:paraId="309172DE" w14:textId="77777777" w:rsidR="00035799" w:rsidRPr="009267B6" w:rsidRDefault="00035799" w:rsidP="009267B6">
                <w:pPr>
                  <w:widowControl w:val="0"/>
                  <w:suppressAutoHyphens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  <w:lastRenderedPageBreak/>
                  <w:t>Tryb bezprzetargowy– na podstawie art. 37 ust. 2 pkt 6 ustawy z dnia 21 sierpnia 1997r. o gospodarce nieruchomościami (Dz. U. z 2024 r. poz. 1145 ze zm.)</w:t>
                </w:r>
              </w:p>
              <w:p w14:paraId="60F14404" w14:textId="77777777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1502" w:type="dxa"/>
                <w:gridSpan w:val="2"/>
              </w:tcPr>
              <w:p w14:paraId="56F070F5" w14:textId="77777777" w:rsidR="00035799" w:rsidRPr="009267B6" w:rsidRDefault="00035799" w:rsidP="009267B6">
                <w:pPr>
                  <w:contextualSpacing/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  <w:t>75.920,00 zł</w:t>
                </w:r>
              </w:p>
              <w:p w14:paraId="612A5DB0" w14:textId="77777777" w:rsidR="00035799" w:rsidRPr="009267B6" w:rsidRDefault="00035799" w:rsidP="009267B6">
                <w:pPr>
                  <w:contextualSpacing/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</w:pPr>
              </w:p>
              <w:p w14:paraId="31591E5A" w14:textId="77777777" w:rsidR="00035799" w:rsidRPr="009267B6" w:rsidRDefault="00035799" w:rsidP="009267B6">
                <w:pPr>
                  <w:contextualSpacing/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  <w:t xml:space="preserve">Sprzedaż nieruchomości podlega zwolnieniu z podatku VAT, stosownie do art. 43 ust. 1 pkt 9 ustawy z dnia 11 marca 2004 r. o podatku od towarów i </w:t>
                </w:r>
                <w:r w:rsidRPr="009267B6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  <w:lastRenderedPageBreak/>
                  <w:t>usług (Dz.U. z 2025 r., poz. 775 ze zm.).</w:t>
                </w:r>
              </w:p>
              <w:p w14:paraId="22CB41D2" w14:textId="77777777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1814" w:type="dxa"/>
              </w:tcPr>
              <w:p w14:paraId="32F88A7B" w14:textId="77777777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lastRenderedPageBreak/>
                  <w:t>Nabywca odpowiada za samodzielne zapoznanie się ze stanem prawnym i faktycznym nieruchomości, aktualnym sposobem jej wykorzystania, parametrami oraz możliwością zagospodarowan</w:t>
                </w:r>
                <w:r w:rsidRPr="009267B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lastRenderedPageBreak/>
                  <w:t>ia. Rozpoznanie wszelkich warunków faktycznych i prawnych niezbędnych do realizacji planowanej inwestycji, leży w całości po stronie nabywcy i stanowi obszar jego ryzyka.</w:t>
                </w:r>
              </w:p>
              <w:p w14:paraId="03E550AD" w14:textId="77777777" w:rsidR="005A2714" w:rsidRPr="009267B6" w:rsidRDefault="005A2714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6AA8CC22" w14:textId="785F8E2F" w:rsidR="005A2714" w:rsidRPr="009267B6" w:rsidRDefault="005A2714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Sprzedaż nieruchomości odbywa się w stanie istniejącym. Sprzedający nie odpowiada za wady ukryte zbywanej nieruchomości, w tym także za ewentualnie nieujawniony w Miejskim Ośrodku Dokumentacji Geodezyjnej i Kartograficznej w Piotrkowie Trybunalskim, przebieg podziemnych mediów.</w:t>
                </w:r>
              </w:p>
            </w:tc>
          </w:tr>
          <w:tr w:rsidR="00DB4DAA" w:rsidRPr="009267B6" w14:paraId="5BF8DD34" w14:textId="77777777" w:rsidTr="00DB4DAA">
            <w:tc>
              <w:tcPr>
                <w:tcW w:w="872" w:type="dxa"/>
              </w:tcPr>
              <w:p w14:paraId="312F7FD8" w14:textId="0E8459D7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  <w:lastRenderedPageBreak/>
                  <w:t>4.</w:t>
                </w:r>
              </w:p>
            </w:tc>
            <w:tc>
              <w:tcPr>
                <w:tcW w:w="1675" w:type="dxa"/>
              </w:tcPr>
              <w:p w14:paraId="067749BA" w14:textId="77777777" w:rsidR="00035799" w:rsidRPr="009267B6" w:rsidRDefault="00035799" w:rsidP="009267B6">
                <w:pPr>
                  <w:tabs>
                    <w:tab w:val="left" w:pos="360"/>
                  </w:tabs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obręb 32</w:t>
                </w:r>
                <w:r w:rsidRPr="009267B6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  <w:t>,</w:t>
                </w:r>
              </w:p>
              <w:p w14:paraId="29541606" w14:textId="77777777" w:rsidR="00035799" w:rsidRPr="009267B6" w:rsidRDefault="00035799" w:rsidP="009267B6">
                <w:pPr>
                  <w:tabs>
                    <w:tab w:val="left" w:pos="360"/>
                  </w:tabs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  <w:t>ul. Gospodarcza</w:t>
                </w:r>
              </w:p>
              <w:p w14:paraId="19DDB987" w14:textId="77777777" w:rsidR="00035799" w:rsidRPr="009267B6" w:rsidRDefault="00035799" w:rsidP="009267B6">
                <w:pPr>
                  <w:widowControl w:val="0"/>
                  <w:suppressAutoHyphens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  <w:t>PT1P/00068911/9</w:t>
                </w:r>
              </w:p>
              <w:p w14:paraId="0648608E" w14:textId="77777777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992" w:type="dxa"/>
              </w:tcPr>
              <w:p w14:paraId="21ACEE52" w14:textId="6A231F3F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bCs/>
                    <w:sz w:val="20"/>
                    <w:szCs w:val="20"/>
                    <w:lang w:eastAsia="pl-PL"/>
                  </w:rPr>
                  <w:t>275/4 i 275/5</w:t>
                </w:r>
              </w:p>
            </w:tc>
            <w:tc>
              <w:tcPr>
                <w:tcW w:w="1418" w:type="dxa"/>
              </w:tcPr>
              <w:p w14:paraId="023F8540" w14:textId="60729E5C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bCs/>
                    <w:sz w:val="20"/>
                    <w:szCs w:val="20"/>
                    <w:lang w:eastAsia="pl-PL"/>
                  </w:rPr>
                  <w:t>0,0087 ha</w:t>
                </w:r>
              </w:p>
            </w:tc>
            <w:tc>
              <w:tcPr>
                <w:tcW w:w="2268" w:type="dxa"/>
              </w:tcPr>
              <w:p w14:paraId="28320D89" w14:textId="77777777" w:rsidR="00035799" w:rsidRPr="009267B6" w:rsidRDefault="00035799" w:rsidP="009267B6">
                <w:pPr>
                  <w:widowControl w:val="0"/>
                  <w:suppressAutoHyphens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  <w:t xml:space="preserve">Nieruchomość z pośrednim dostępem do drogi publicznej. Teren nieruchomości płaski, porośnięty drzewami. </w:t>
                </w:r>
              </w:p>
              <w:p w14:paraId="59E7AA56" w14:textId="233DF9A4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  <w:t xml:space="preserve">Działka numer 275/5 jest niezabudowana, a </w:t>
                </w:r>
                <w:r w:rsidRPr="009267B6"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  <w:lastRenderedPageBreak/>
                  <w:t xml:space="preserve">na działce numer 275/4 znajduje się fragment budynku garażowego, który w przeważajacej części umiejscowiony jest na działce przyległej, stanowiącej własność osoby fizycznej. Na działkach numer </w:t>
                </w:r>
                <w:r w:rsidRPr="009267B6">
                  <w:rPr>
                    <w:rFonts w:ascii="Arial" w:eastAsia="Tahoma" w:hAnsi="Arial" w:cs="Arial"/>
                    <w:bCs/>
                    <w:sz w:val="20"/>
                    <w:szCs w:val="20"/>
                    <w:lang w:eastAsia="pl-PL"/>
                  </w:rPr>
                  <w:t>275/4 i 275/5 w obrębie 32 brak jest infrastruktury technicznej.</w:t>
                </w:r>
              </w:p>
            </w:tc>
            <w:tc>
              <w:tcPr>
                <w:tcW w:w="1784" w:type="dxa"/>
              </w:tcPr>
              <w:p w14:paraId="1B9EDD40" w14:textId="77777777" w:rsidR="00035799" w:rsidRPr="009267B6" w:rsidRDefault="00035799" w:rsidP="009267B6">
                <w:pPr>
                  <w:widowControl w:val="0"/>
                  <w:tabs>
                    <w:tab w:val="left" w:pos="284"/>
                  </w:tabs>
                  <w:suppressAutoHyphens/>
                  <w:rPr>
                    <w:rFonts w:ascii="Arial" w:eastAsia="Tahoma" w:hAnsi="Arial" w:cs="Arial"/>
                    <w:bCs/>
                    <w:iCs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bCs/>
                    <w:iCs/>
                    <w:sz w:val="20"/>
                    <w:szCs w:val="20"/>
                    <w:lang w:eastAsia="pl-PL"/>
                  </w:rPr>
                  <w:lastRenderedPageBreak/>
                  <w:t xml:space="preserve">Przedmiotowe działki znajdują się w terenie, dla którego nie obowiązuje miejscowy plan zagospodarowania </w:t>
                </w:r>
                <w:r w:rsidRPr="009267B6">
                  <w:rPr>
                    <w:rFonts w:ascii="Arial" w:eastAsia="Tahoma" w:hAnsi="Arial" w:cs="Arial"/>
                    <w:bCs/>
                    <w:iCs/>
                    <w:sz w:val="20"/>
                    <w:szCs w:val="20"/>
                    <w:lang w:eastAsia="pl-PL"/>
                  </w:rPr>
                  <w:lastRenderedPageBreak/>
                  <w:t>przestrzennego, ani też nie została wydana decyzja o warunkach zabudowy i zagospodarowania terenu.</w:t>
                </w:r>
              </w:p>
              <w:p w14:paraId="389A9D78" w14:textId="77777777" w:rsidR="00035799" w:rsidRPr="009267B6" w:rsidRDefault="00035799" w:rsidP="009267B6">
                <w:pPr>
                  <w:widowControl w:val="0"/>
                  <w:tabs>
                    <w:tab w:val="left" w:pos="284"/>
                  </w:tabs>
                  <w:suppressAutoHyphens/>
                  <w:rPr>
                    <w:rFonts w:ascii="Arial" w:eastAsia="Tahoma" w:hAnsi="Arial" w:cs="Arial"/>
                    <w:bCs/>
                    <w:iCs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bCs/>
                    <w:iCs/>
                    <w:sz w:val="20"/>
                    <w:szCs w:val="20"/>
                    <w:lang w:eastAsia="pl-PL"/>
                  </w:rPr>
                  <w:t>Zgodnie ze Studium uwarunkowań i kierunków zagospodarowania przestrzennego Miasta Piotrkowa Trybunalskiego, działki numer 275/4 i 275/5 obręb 32 znajdują się w terenie oznaczonym symbolem MN- tereny zabudowy mieszkaniowej jednorodzinnej.</w:t>
                </w:r>
              </w:p>
              <w:p w14:paraId="277E8707" w14:textId="1E97C76F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MS Mincho" w:hAnsi="Arial" w:cs="Arial"/>
                    <w:sz w:val="20"/>
                    <w:szCs w:val="20"/>
                    <w:lang w:eastAsia="pl-PL"/>
                  </w:rPr>
                  <w:t>Szczegółowe informacje w przedmiocie dopuszczalnego sposobu zagospodarowania przedmiotowej nieruchomości uzyskać można w Pracowni Planowania Przestrzennego w Piotrkowie Trybunalskim, ul. Farna 8, tel. 44 732-15-10.</w:t>
                </w:r>
              </w:p>
            </w:tc>
            <w:tc>
              <w:tcPr>
                <w:tcW w:w="1669" w:type="dxa"/>
              </w:tcPr>
              <w:p w14:paraId="3FCAA1B3" w14:textId="77777777" w:rsidR="00035799" w:rsidRPr="009267B6" w:rsidRDefault="00035799" w:rsidP="009267B6">
                <w:pPr>
                  <w:widowControl w:val="0"/>
                  <w:suppressAutoHyphens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  <w:lastRenderedPageBreak/>
                  <w:t xml:space="preserve">Tryb bezprzetargowy– na podstawie art. 37 ust. 2 pkt 6 ustawy z dnia 21 sierpnia 1997r. o gospodarce </w:t>
                </w:r>
                <w:r w:rsidRPr="009267B6"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  <w:lastRenderedPageBreak/>
                  <w:t>nieruchomościami (Dz. U. z 2024 r. poz. 1145 ze zm.)</w:t>
                </w:r>
              </w:p>
              <w:p w14:paraId="3C0EE399" w14:textId="77777777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1502" w:type="dxa"/>
                <w:gridSpan w:val="2"/>
              </w:tcPr>
              <w:p w14:paraId="5BAA2897" w14:textId="77777777" w:rsidR="00035799" w:rsidRPr="009267B6" w:rsidRDefault="00035799" w:rsidP="009267B6">
                <w:pPr>
                  <w:contextualSpacing/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  <w:lastRenderedPageBreak/>
                  <w:t>7.730,00 zł</w:t>
                </w:r>
              </w:p>
              <w:p w14:paraId="29E41D85" w14:textId="77777777" w:rsidR="00035799" w:rsidRPr="009267B6" w:rsidRDefault="00035799" w:rsidP="009267B6">
                <w:pPr>
                  <w:contextualSpacing/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</w:pPr>
              </w:p>
              <w:p w14:paraId="2F4D4A0A" w14:textId="77777777" w:rsidR="00035799" w:rsidRPr="009267B6" w:rsidRDefault="00035799" w:rsidP="009267B6">
                <w:pPr>
                  <w:contextualSpacing/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  <w:t xml:space="preserve">Sprzedaż nieruchomości podlega zwolnieniu z podatku VAT, stosownie do </w:t>
                </w:r>
                <w:r w:rsidRPr="009267B6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pl-PL"/>
                  </w:rPr>
                  <w:lastRenderedPageBreak/>
                  <w:t>art. 43 ust. 1 pkt 9 ustawy z dnia 11 marca 2004 r. o podatku od towarów i usług (Dz.U. z 2025 r., poz. 775 ze zm.).</w:t>
                </w:r>
              </w:p>
              <w:p w14:paraId="223E2612" w14:textId="77777777" w:rsidR="00035799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ahoma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1814" w:type="dxa"/>
              </w:tcPr>
              <w:p w14:paraId="695A0F82" w14:textId="258A79C1" w:rsidR="005A2714" w:rsidRPr="009267B6" w:rsidRDefault="00035799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lastRenderedPageBreak/>
                  <w:t xml:space="preserve">Nabywca odpowiada za samodzielne zapoznanie się ze stanem prawnym i faktycznym nieruchomości, </w:t>
                </w:r>
                <w:r w:rsidRPr="009267B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lastRenderedPageBreak/>
                  <w:t>aktualnym sposobem jej wykorzystania, parametrami oraz możliwością zagospodarowania. Rozpoznanie wszelkich warunków faktycznych i prawnych niezbędnych do realizacji planowanej inwestycji, leży w całości po stronie nabywcy i stanowi obszar jego ryzyka.</w:t>
                </w:r>
              </w:p>
              <w:p w14:paraId="454750F0" w14:textId="43D5C29C" w:rsidR="005A2714" w:rsidRPr="009267B6" w:rsidRDefault="005A2714" w:rsidP="009267B6">
                <w:pPr>
                  <w:widowControl w:val="0"/>
                  <w:tabs>
                    <w:tab w:val="left" w:pos="4680"/>
                  </w:tabs>
                  <w:suppressAutoHyphens/>
                  <w:ind w:right="45"/>
                  <w:outlineLvl w:val="0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9267B6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Sprzedaż nieruchomości odbywa się w stanie istniejącym. Sprzedający nie odpowiada za wady ukryte zbywanej nieruchomości, w tym także za ewentualnie nieujawniony w Miejskim Ośrodku Dokumentacji Geodezyjnej i Kartograficznej w Piotrkowie Trybunalskim, przebieg podziemnych mediów.</w:t>
                </w:r>
              </w:p>
            </w:tc>
          </w:tr>
        </w:tbl>
        <w:p w14:paraId="1EA26E14" w14:textId="020E0A03" w:rsidR="00883E9D" w:rsidRPr="009267B6" w:rsidRDefault="00883E9D" w:rsidP="009267B6">
          <w:pPr>
            <w:widowControl w:val="0"/>
            <w:shd w:val="clear" w:color="auto" w:fill="FFFFFF"/>
            <w:tabs>
              <w:tab w:val="left" w:pos="284"/>
            </w:tabs>
            <w:suppressAutoHyphens/>
            <w:spacing w:after="0" w:line="240" w:lineRule="auto"/>
            <w:rPr>
              <w:rFonts w:ascii="Arial" w:eastAsia="Tahoma" w:hAnsi="Arial" w:cs="Arial"/>
              <w:sz w:val="20"/>
              <w:szCs w:val="20"/>
              <w:lang w:eastAsia="pl-PL"/>
            </w:rPr>
          </w:pPr>
          <w:r w:rsidRPr="009267B6">
            <w:rPr>
              <w:rFonts w:ascii="Arial" w:eastAsia="MS Mincho" w:hAnsi="Arial" w:cs="Arial"/>
              <w:sz w:val="20"/>
              <w:szCs w:val="20"/>
              <w:lang w:eastAsia="pl-PL"/>
            </w:rPr>
            <w:lastRenderedPageBreak/>
            <w:t>Wykaz nieruchomości przeznaczonych do sprzedaży podaje się do publicznej wiadomości poprzez: wywieszenie na okres 21 dni na tablicach ogłoszeń w siedzibie Urzędu Miasta Piotrkowa Trybunalskiego przy Pasażu Karola Rudowskiego 10 i ul. Szkolnej 28, tj. od dn</w:t>
          </w:r>
          <w:r w:rsidR="003F11C3">
            <w:rPr>
              <w:rFonts w:ascii="Arial" w:eastAsia="MS Mincho" w:hAnsi="Arial" w:cs="Arial"/>
              <w:sz w:val="20"/>
              <w:szCs w:val="20"/>
              <w:lang w:eastAsia="pl-PL"/>
            </w:rPr>
            <w:t xml:space="preserve">ia 13 listopada 2025 r. do dnia 4 grudnia </w:t>
          </w:r>
          <w:r w:rsidRPr="009267B6">
            <w:rPr>
              <w:rFonts w:ascii="Arial" w:eastAsia="MS Mincho" w:hAnsi="Arial" w:cs="Arial"/>
              <w:sz w:val="20"/>
              <w:szCs w:val="20"/>
              <w:lang w:eastAsia="pl-PL"/>
            </w:rPr>
            <w:lastRenderedPageBreak/>
            <w:t xml:space="preserve">2025 r., zamieszczenie na stronie internetowej </w:t>
          </w:r>
          <w:r w:rsidRPr="009267B6">
            <w:rPr>
              <w:rFonts w:ascii="Arial" w:eastAsia="Tahoma" w:hAnsi="Arial" w:cs="Arial"/>
              <w:sz w:val="20"/>
              <w:szCs w:val="20"/>
              <w:lang w:eastAsia="pl-PL"/>
            </w:rPr>
            <w:t xml:space="preserve">Urzędu Miasta Piotrkowa Trybunalskiego www.piotrkow.pl oraz w Biuletynie Informacji Publicznej www.bip.piotrkow.pl oraz </w:t>
          </w:r>
          <w:r w:rsidRPr="009267B6">
            <w:rPr>
              <w:rFonts w:ascii="Arial" w:eastAsia="MS Mincho" w:hAnsi="Arial" w:cs="Arial"/>
              <w:sz w:val="20"/>
              <w:szCs w:val="20"/>
              <w:lang w:eastAsia="pl-PL"/>
            </w:rPr>
            <w:t xml:space="preserve">podanie informacji o zamieszczeniu wykazu w prasie lokalnej </w:t>
          </w:r>
          <w:r w:rsidRPr="009267B6">
            <w:rPr>
              <w:rFonts w:ascii="Arial" w:eastAsia="Tahoma" w:hAnsi="Arial" w:cs="Arial"/>
              <w:sz w:val="20"/>
              <w:szCs w:val="20"/>
              <w:lang w:eastAsia="pl-PL"/>
            </w:rPr>
            <w:t>o zasięgu obejmującym co najmniej powiat, na terenie którego położone są nieruchomości.</w:t>
          </w:r>
        </w:p>
        <w:p w14:paraId="53378DF5" w14:textId="77777777" w:rsidR="00883E9D" w:rsidRPr="009267B6" w:rsidRDefault="00883E9D" w:rsidP="009267B6">
          <w:pPr>
            <w:widowControl w:val="0"/>
            <w:suppressAutoHyphens/>
            <w:spacing w:after="0" w:line="240" w:lineRule="auto"/>
            <w:rPr>
              <w:rFonts w:ascii="Arial" w:eastAsia="Tahoma" w:hAnsi="Arial" w:cs="Arial"/>
              <w:sz w:val="20"/>
              <w:szCs w:val="20"/>
              <w:lang w:eastAsia="pl-PL"/>
            </w:rPr>
          </w:pPr>
          <w:r w:rsidRPr="009267B6">
            <w:rPr>
              <w:rFonts w:ascii="Arial" w:eastAsia="Tahoma" w:hAnsi="Arial" w:cs="Arial"/>
              <w:sz w:val="20"/>
              <w:szCs w:val="20"/>
              <w:lang w:eastAsia="pl-PL"/>
            </w:rPr>
            <w:t>Stosownie do regulacji zawartych w art. 34 ust. 1 ustawy z dnia 21 sierpnia 1997 r. o gospodarce nieruchomościami (Dz.U. z 2024 r., poz. 1145 ze zm.) w przypadku zbywania nieruchomości</w:t>
          </w:r>
          <w:r w:rsidRPr="009267B6">
            <w:rPr>
              <w:rFonts w:ascii="Arial" w:eastAsia="Tahoma" w:hAnsi="Arial" w:cs="Arial"/>
              <w:iCs/>
              <w:sz w:val="20"/>
              <w:szCs w:val="20"/>
              <w:lang w:eastAsia="pl-PL"/>
            </w:rPr>
            <w:t xml:space="preserve"> o</w:t>
          </w:r>
          <w:r w:rsidRPr="009267B6">
            <w:rPr>
              <w:rFonts w:ascii="Arial" w:eastAsia="Tahoma" w:hAnsi="Arial" w:cs="Arial"/>
              <w:sz w:val="20"/>
              <w:szCs w:val="20"/>
              <w:lang w:eastAsia="pl-PL"/>
            </w:rPr>
            <w:t>sobom fizycznym i prawnym pierwszeństwo w ich nabyciu, z zastrzeżeniem art. 216a, przysługuje osobie, która spełnia jeden z następujących warunków:</w:t>
          </w:r>
        </w:p>
        <w:p w14:paraId="154DD576" w14:textId="77777777" w:rsidR="00883E9D" w:rsidRPr="009267B6" w:rsidRDefault="00883E9D" w:rsidP="009267B6">
          <w:pPr>
            <w:widowControl w:val="0"/>
            <w:suppressAutoHyphens/>
            <w:spacing w:after="0" w:line="240" w:lineRule="auto"/>
            <w:rPr>
              <w:rFonts w:ascii="Arial" w:eastAsia="Tahoma" w:hAnsi="Arial" w:cs="Arial"/>
              <w:sz w:val="20"/>
              <w:szCs w:val="20"/>
              <w:lang w:eastAsia="pl-PL"/>
            </w:rPr>
          </w:pPr>
          <w:r w:rsidRPr="009267B6">
            <w:rPr>
              <w:rFonts w:ascii="Arial" w:eastAsia="Tahoma" w:hAnsi="Arial" w:cs="Arial"/>
              <w:sz w:val="20"/>
              <w:szCs w:val="20"/>
              <w:lang w:eastAsia="pl-PL"/>
            </w:rPr>
            <w:t>1) przysługuje jej roszczenie o nabycie nieruchomości</w:t>
          </w:r>
          <w:r w:rsidRPr="009267B6">
            <w:rPr>
              <w:rFonts w:ascii="Arial" w:eastAsia="Tahoma" w:hAnsi="Arial" w:cs="Arial"/>
              <w:iCs/>
              <w:sz w:val="20"/>
              <w:szCs w:val="20"/>
              <w:lang w:eastAsia="pl-PL"/>
            </w:rPr>
            <w:t xml:space="preserve"> </w:t>
          </w:r>
          <w:r w:rsidRPr="009267B6">
            <w:rPr>
              <w:rFonts w:ascii="Arial" w:eastAsia="Tahoma" w:hAnsi="Arial" w:cs="Arial"/>
              <w:sz w:val="20"/>
              <w:szCs w:val="20"/>
              <w:lang w:eastAsia="pl-PL"/>
            </w:rPr>
            <w:t>z mocy powołanej ustawy o gospodarce nieruchomościami lub odrębnych przepisów, jeżeli złoży wniosek o nabycie przed upływem terminu określonego w wykazie, o którym mowa w art. 35 ust. 1 powołanej ustawy. Termin złożenia wniosku nie może być krótszy niż 6 tygodni, licząc od dnia wywieszenia wykazu;</w:t>
          </w:r>
        </w:p>
        <w:p w14:paraId="6602C118" w14:textId="77777777" w:rsidR="00883E9D" w:rsidRPr="009267B6" w:rsidRDefault="00883E9D" w:rsidP="009267B6">
          <w:pPr>
            <w:widowControl w:val="0"/>
            <w:suppressAutoHyphens/>
            <w:spacing w:after="0" w:line="240" w:lineRule="auto"/>
            <w:rPr>
              <w:rFonts w:ascii="Arial" w:eastAsia="Tahoma" w:hAnsi="Arial" w:cs="Arial"/>
              <w:sz w:val="20"/>
              <w:szCs w:val="20"/>
              <w:lang w:eastAsia="pl-PL"/>
            </w:rPr>
          </w:pPr>
          <w:r w:rsidRPr="009267B6">
            <w:rPr>
              <w:rFonts w:ascii="Arial" w:eastAsia="Tahoma" w:hAnsi="Arial" w:cs="Arial"/>
              <w:sz w:val="20"/>
              <w:szCs w:val="20"/>
              <w:lang w:eastAsia="pl-PL"/>
            </w:rPr>
            <w:t>2) jest poprzednim właścicielem zbywanej nieruchomości</w:t>
          </w:r>
          <w:r w:rsidRPr="009267B6">
            <w:rPr>
              <w:rFonts w:ascii="Arial" w:eastAsia="Tahoma" w:hAnsi="Arial" w:cs="Arial"/>
              <w:iCs/>
              <w:sz w:val="20"/>
              <w:szCs w:val="20"/>
              <w:lang w:eastAsia="pl-PL"/>
            </w:rPr>
            <w:t xml:space="preserve"> </w:t>
          </w:r>
          <w:r w:rsidRPr="009267B6">
            <w:rPr>
              <w:rFonts w:ascii="Arial" w:eastAsia="Tahoma" w:hAnsi="Arial" w:cs="Arial"/>
              <w:sz w:val="20"/>
              <w:szCs w:val="20"/>
              <w:lang w:eastAsia="pl-PL"/>
            </w:rPr>
            <w:t>pozbawionym prawa własności tej nieruchomości</w:t>
          </w:r>
          <w:r w:rsidRPr="009267B6">
            <w:rPr>
              <w:rFonts w:ascii="Arial" w:eastAsia="Tahoma" w:hAnsi="Arial" w:cs="Arial"/>
              <w:iCs/>
              <w:sz w:val="20"/>
              <w:szCs w:val="20"/>
              <w:lang w:eastAsia="pl-PL"/>
            </w:rPr>
            <w:t xml:space="preserve"> </w:t>
          </w:r>
          <w:r w:rsidRPr="009267B6">
            <w:rPr>
              <w:rFonts w:ascii="Arial" w:eastAsia="Tahoma" w:hAnsi="Arial" w:cs="Arial"/>
              <w:sz w:val="20"/>
              <w:szCs w:val="20"/>
              <w:lang w:eastAsia="pl-PL"/>
            </w:rPr>
            <w:t>przed dniem 5 grudnia 1990 r. albo jego spadkobiercą, jeżeli złoży wniosek o nabycie przed upływem terminu określonego w wykazie, o którym mowa w art. 35 ust. 1 powołanej ustawy o gospodarce nieruchomościami. Termin złożenia wniosku nie może być krótszy niż 6 tygodni, licząc od dnia wywieszenia wykazu.</w:t>
          </w:r>
        </w:p>
        <w:p w14:paraId="12B69C86" w14:textId="77777777" w:rsidR="00883E9D" w:rsidRPr="009267B6" w:rsidRDefault="00883E9D" w:rsidP="009267B6">
          <w:pPr>
            <w:widowControl w:val="0"/>
            <w:suppressAutoHyphens/>
            <w:spacing w:after="0" w:line="240" w:lineRule="auto"/>
            <w:rPr>
              <w:rFonts w:ascii="Arial" w:eastAsia="Tahoma" w:hAnsi="Arial" w:cs="Arial"/>
              <w:sz w:val="20"/>
              <w:szCs w:val="20"/>
              <w:lang w:eastAsia="pl-PL"/>
            </w:rPr>
          </w:pPr>
        </w:p>
        <w:p w14:paraId="029F7C40" w14:textId="77777777" w:rsidR="00883E9D" w:rsidRPr="009267B6" w:rsidRDefault="00883E9D" w:rsidP="009267B6">
          <w:pPr>
            <w:widowControl w:val="0"/>
            <w:suppressAutoHyphens/>
            <w:spacing w:after="0" w:line="240" w:lineRule="auto"/>
            <w:rPr>
              <w:rFonts w:ascii="Arial" w:eastAsia="Tahoma" w:hAnsi="Arial" w:cs="Arial"/>
              <w:sz w:val="20"/>
              <w:szCs w:val="20"/>
              <w:lang w:eastAsia="pl-PL"/>
            </w:rPr>
          </w:pPr>
          <w:r w:rsidRPr="009267B6">
            <w:rPr>
              <w:rFonts w:ascii="Arial" w:eastAsia="Tahoma" w:hAnsi="Arial" w:cs="Arial"/>
              <w:sz w:val="20"/>
              <w:szCs w:val="20"/>
              <w:lang w:eastAsia="pl-PL"/>
            </w:rPr>
            <w:t>Osoby, o których mowa, korzystają z pierwszeństwa w nabyciu nieruchomości, jeżeli złożą oświadczenie, że wyrażają zgodę na cenę ustaloną w sposób określony w ustawie o gospodarce nieruchomościami.</w:t>
          </w:r>
        </w:p>
        <w:p w14:paraId="0664300B" w14:textId="0A8AACE5" w:rsidR="003F11C3" w:rsidRDefault="00883E9D" w:rsidP="009267B6">
          <w:pPr>
            <w:widowControl w:val="0"/>
            <w:suppressAutoHyphens/>
            <w:spacing w:after="0" w:line="240" w:lineRule="auto"/>
            <w:rPr>
              <w:rFonts w:ascii="Arial" w:eastAsia="MS Mincho" w:hAnsi="Arial" w:cs="Arial"/>
              <w:sz w:val="20"/>
              <w:szCs w:val="20"/>
              <w:lang w:eastAsia="pl-PL"/>
            </w:rPr>
          </w:pPr>
          <w:r w:rsidRPr="009267B6">
            <w:rPr>
              <w:rFonts w:ascii="Arial" w:eastAsia="Tahoma" w:hAnsi="Arial" w:cs="Arial"/>
              <w:sz w:val="20"/>
              <w:szCs w:val="20"/>
              <w:lang w:eastAsia="pl-PL"/>
            </w:rPr>
            <w:t>Termin do złożenia wniosku przez osoby, którym przysługuje pierwszeństwo w nabyciu nieruchomości, ustala się od dnia</w:t>
          </w:r>
          <w:r w:rsidR="003F11C3">
            <w:rPr>
              <w:rFonts w:ascii="Arial" w:eastAsia="Tahoma" w:hAnsi="Arial" w:cs="Arial"/>
              <w:sz w:val="20"/>
              <w:szCs w:val="20"/>
              <w:lang w:eastAsia="pl-PL"/>
            </w:rPr>
            <w:t xml:space="preserve"> 13 listopada </w:t>
          </w:r>
          <w:r w:rsidRPr="009267B6">
            <w:rPr>
              <w:rFonts w:ascii="Arial" w:eastAsia="Tahoma" w:hAnsi="Arial" w:cs="Arial"/>
              <w:bCs/>
              <w:sz w:val="20"/>
              <w:szCs w:val="20"/>
              <w:lang w:eastAsia="pl-PL"/>
            </w:rPr>
            <w:t>2</w:t>
          </w:r>
          <w:r w:rsidRPr="009267B6">
            <w:rPr>
              <w:rFonts w:ascii="Arial" w:eastAsia="MS Mincho" w:hAnsi="Arial" w:cs="Arial"/>
              <w:sz w:val="20"/>
              <w:szCs w:val="20"/>
              <w:lang w:eastAsia="pl-PL"/>
            </w:rPr>
            <w:t xml:space="preserve">025 r. </w:t>
          </w:r>
          <w:r w:rsidR="003F11C3">
            <w:rPr>
              <w:rFonts w:ascii="Arial" w:eastAsia="Tahoma" w:hAnsi="Arial" w:cs="Arial"/>
              <w:sz w:val="20"/>
              <w:szCs w:val="20"/>
              <w:lang w:eastAsia="pl-PL"/>
            </w:rPr>
            <w:t xml:space="preserve">do dnia 25 grudnia </w:t>
          </w:r>
          <w:r w:rsidRPr="009267B6">
            <w:rPr>
              <w:rFonts w:ascii="Arial" w:eastAsia="MS Mincho" w:hAnsi="Arial" w:cs="Arial"/>
              <w:sz w:val="20"/>
              <w:szCs w:val="20"/>
              <w:lang w:eastAsia="pl-PL"/>
            </w:rPr>
            <w:t>2025 r.</w:t>
          </w:r>
          <w:bookmarkEnd w:id="2"/>
        </w:p>
        <w:p w14:paraId="104BDEA3" w14:textId="77777777" w:rsidR="003F11C3" w:rsidRDefault="003F11C3" w:rsidP="009267B6">
          <w:pPr>
            <w:widowControl w:val="0"/>
            <w:suppressAutoHyphens/>
            <w:spacing w:after="0" w:line="240" w:lineRule="auto"/>
            <w:rPr>
              <w:rFonts w:ascii="Arial" w:eastAsia="MS Mincho" w:hAnsi="Arial" w:cs="Arial"/>
              <w:sz w:val="20"/>
              <w:szCs w:val="20"/>
              <w:lang w:eastAsia="pl-PL"/>
            </w:rPr>
          </w:pPr>
        </w:p>
        <w:p w14:paraId="7588AD89" w14:textId="77777777" w:rsidR="003F11C3" w:rsidRPr="003F11C3" w:rsidRDefault="003F11C3" w:rsidP="003F11C3">
          <w:pPr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  <w:r w:rsidRPr="003F11C3">
            <w:rPr>
              <w:rFonts w:ascii="Arial" w:eastAsia="Calibri" w:hAnsi="Arial" w:cs="Arial"/>
              <w:sz w:val="20"/>
              <w:szCs w:val="20"/>
            </w:rPr>
            <w:t>Prezydent Miasta Piotrkowa Trybunalskiego</w:t>
          </w:r>
        </w:p>
        <w:p w14:paraId="177661E0" w14:textId="77777777" w:rsidR="003F11C3" w:rsidRPr="003F11C3" w:rsidRDefault="003F11C3" w:rsidP="003F11C3">
          <w:pPr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  <w:r w:rsidRPr="003F11C3">
            <w:rPr>
              <w:rFonts w:ascii="Arial" w:eastAsia="Calibri" w:hAnsi="Arial" w:cs="Arial"/>
              <w:sz w:val="20"/>
              <w:szCs w:val="20"/>
            </w:rPr>
            <w:t>Juliusz Wiernicki</w:t>
          </w:r>
        </w:p>
        <w:p w14:paraId="6A310CCB" w14:textId="7E0A418E" w:rsidR="00F22A10" w:rsidRPr="00014CEB" w:rsidRDefault="003F11C3" w:rsidP="00014CEB">
          <w:pPr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  <w:r w:rsidRPr="003F11C3">
            <w:rPr>
              <w:rFonts w:ascii="Arial" w:eastAsia="Calibri" w:hAnsi="Arial" w:cs="Arial"/>
              <w:sz w:val="20"/>
              <w:szCs w:val="20"/>
            </w:rPr>
            <w:t>dokument podpisany kwalifikowanym podpisem elektronicznym</w:t>
          </w:r>
        </w:p>
      </w:sdtContent>
    </w:sdt>
    <w:sectPr w:rsidR="00F22A10" w:rsidRPr="00014CEB" w:rsidSect="00883E9D">
      <w:footerReference w:type="default" r:id="rId7"/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AC69A" w14:textId="77777777" w:rsidR="00D43554" w:rsidRDefault="00D43554" w:rsidP="00F22A10">
      <w:pPr>
        <w:spacing w:after="0" w:line="240" w:lineRule="auto"/>
      </w:pPr>
      <w:r>
        <w:separator/>
      </w:r>
    </w:p>
  </w:endnote>
  <w:endnote w:type="continuationSeparator" w:id="0">
    <w:p w14:paraId="30212CB3" w14:textId="77777777" w:rsidR="00D43554" w:rsidRDefault="00D43554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F7BDE" w14:textId="77777777" w:rsidR="00D43554" w:rsidRDefault="00D43554" w:rsidP="00F22A10">
      <w:pPr>
        <w:spacing w:after="0" w:line="240" w:lineRule="auto"/>
      </w:pPr>
      <w:r>
        <w:separator/>
      </w:r>
    </w:p>
  </w:footnote>
  <w:footnote w:type="continuationSeparator" w:id="0">
    <w:p w14:paraId="61AF1AC6" w14:textId="77777777" w:rsidR="00D43554" w:rsidRDefault="00D43554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BA"/>
    <w:rsid w:val="00014CEB"/>
    <w:rsid w:val="00035799"/>
    <w:rsid w:val="000503D4"/>
    <w:rsid w:val="000C5C2B"/>
    <w:rsid w:val="000D5A64"/>
    <w:rsid w:val="00144995"/>
    <w:rsid w:val="00173512"/>
    <w:rsid w:val="001C3D36"/>
    <w:rsid w:val="00212A55"/>
    <w:rsid w:val="00331E82"/>
    <w:rsid w:val="00385A37"/>
    <w:rsid w:val="003D3A2D"/>
    <w:rsid w:val="003F11C3"/>
    <w:rsid w:val="00400DF9"/>
    <w:rsid w:val="00422710"/>
    <w:rsid w:val="005014BA"/>
    <w:rsid w:val="005A2714"/>
    <w:rsid w:val="005D6587"/>
    <w:rsid w:val="006144DC"/>
    <w:rsid w:val="00631B28"/>
    <w:rsid w:val="0065513C"/>
    <w:rsid w:val="00657890"/>
    <w:rsid w:val="006C5055"/>
    <w:rsid w:val="006D30FF"/>
    <w:rsid w:val="00746915"/>
    <w:rsid w:val="00883E9D"/>
    <w:rsid w:val="009267B6"/>
    <w:rsid w:val="009E3771"/>
    <w:rsid w:val="00A412B1"/>
    <w:rsid w:val="00A53793"/>
    <w:rsid w:val="00A55BC6"/>
    <w:rsid w:val="00A61942"/>
    <w:rsid w:val="00A65A4B"/>
    <w:rsid w:val="00A71B6B"/>
    <w:rsid w:val="00A86831"/>
    <w:rsid w:val="00AF081C"/>
    <w:rsid w:val="00B15455"/>
    <w:rsid w:val="00B769E4"/>
    <w:rsid w:val="00BA13CD"/>
    <w:rsid w:val="00C07D74"/>
    <w:rsid w:val="00C24858"/>
    <w:rsid w:val="00C817A9"/>
    <w:rsid w:val="00CE0ED0"/>
    <w:rsid w:val="00D22FDB"/>
    <w:rsid w:val="00D43554"/>
    <w:rsid w:val="00D5303E"/>
    <w:rsid w:val="00DB22E2"/>
    <w:rsid w:val="00DB4DAA"/>
    <w:rsid w:val="00E07CEA"/>
    <w:rsid w:val="00E910DE"/>
    <w:rsid w:val="00E950AF"/>
    <w:rsid w:val="00F22A10"/>
    <w:rsid w:val="00F33A42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  <w:style w:type="table" w:styleId="Tabela-Siatka">
    <w:name w:val="Table Grid"/>
    <w:basedOn w:val="Standardowy"/>
    <w:uiPriority w:val="39"/>
    <w:rsid w:val="0003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B38E5"/>
    <w:rsid w:val="00287FFB"/>
    <w:rsid w:val="00385A37"/>
    <w:rsid w:val="00611988"/>
    <w:rsid w:val="00655B92"/>
    <w:rsid w:val="006C177D"/>
    <w:rsid w:val="00BC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313F3-4253-44BE-983B-DF125472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1588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Grzejszczak Katarzyna</cp:lastModifiedBy>
  <cp:revision>29</cp:revision>
  <cp:lastPrinted>2021-09-29T12:54:00Z</cp:lastPrinted>
  <dcterms:created xsi:type="dcterms:W3CDTF">2025-11-12T11:25:00Z</dcterms:created>
  <dcterms:modified xsi:type="dcterms:W3CDTF">2025-11-12T11:49:00Z</dcterms:modified>
</cp:coreProperties>
</file>