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9E99" w14:textId="36A0C38A" w:rsidR="005014BA" w:rsidRPr="006144DC" w:rsidRDefault="006144DC" w:rsidP="008071D4">
      <w:pPr>
        <w:spacing w:line="288" w:lineRule="auto"/>
        <w:ind w:left="7371"/>
        <w:rPr>
          <w:sz w:val="24"/>
          <w:szCs w:val="24"/>
        </w:rPr>
      </w:pPr>
      <w:r w:rsidRPr="006144DC">
        <w:rPr>
          <w:sz w:val="24"/>
          <w:szCs w:val="24"/>
        </w:rPr>
        <w:t>Załącznik</w:t>
      </w:r>
      <w:r w:rsidR="007C3E0A">
        <w:rPr>
          <w:sz w:val="24"/>
          <w:szCs w:val="24"/>
        </w:rPr>
        <w:t xml:space="preserve"> nr 1</w:t>
      </w:r>
      <w:r w:rsidRPr="006144DC">
        <w:rPr>
          <w:sz w:val="24"/>
          <w:szCs w:val="24"/>
        </w:rPr>
        <w:t xml:space="preserve"> 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sdt>
        <w:sdtPr>
          <w:rPr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9C1E2E">
            <w:rPr>
              <w:sz w:val="24"/>
              <w:szCs w:val="24"/>
            </w:rPr>
            <w:t>136</w:t>
          </w:r>
        </w:sdtContent>
      </w:sdt>
      <w:r w:rsidR="005014BA" w:rsidRPr="006144DC">
        <w:rPr>
          <w:sz w:val="24"/>
          <w:szCs w:val="24"/>
        </w:rPr>
        <w:br/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  <w:t>z dnia</w:t>
      </w:r>
      <w:r w:rsidR="00A71B6B" w:rsidRPr="006144DC">
        <w:rPr>
          <w:sz w:val="24"/>
          <w:szCs w:val="24"/>
        </w:rPr>
        <w:t xml:space="preserve"> </w:t>
      </w:r>
      <w:bookmarkStart w:id="0" w:name="ezdDataPodpisu"/>
      <w:bookmarkEnd w:id="0"/>
      <w:r w:rsidR="00D5303E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roku</w:t>
      </w:r>
    </w:p>
    <w:p w14:paraId="34B6D953" w14:textId="77777777" w:rsidR="00BA13CD" w:rsidRPr="00BA13CD" w:rsidRDefault="00BA13CD" w:rsidP="00BA13CD">
      <w:pPr>
        <w:jc w:val="center"/>
        <w:rPr>
          <w:b/>
          <w:bCs/>
          <w:sz w:val="28"/>
          <w:szCs w:val="28"/>
        </w:rPr>
      </w:pPr>
    </w:p>
    <w:sdt>
      <w:sdtPr>
        <w:rPr>
          <w:sz w:val="16"/>
          <w:szCs w:val="16"/>
        </w:rPr>
        <w:id w:val="785394786"/>
        <w:placeholder>
          <w:docPart w:val="0BABC2FF405F44A88609AD01C89B2D81"/>
        </w:placeholder>
      </w:sdtPr>
      <w:sdtEndPr>
        <w:rPr>
          <w:sz w:val="28"/>
          <w:szCs w:val="28"/>
        </w:rPr>
      </w:sdtEndPr>
      <w:sdtContent>
        <w:sdt>
          <w:sdtPr>
            <w:rPr>
              <w:rFonts w:ascii="Arial" w:hAnsi="Arial" w:cs="Arial"/>
              <w:b/>
              <w:sz w:val="16"/>
              <w:szCs w:val="16"/>
            </w:rPr>
            <w:id w:val="1493840565"/>
            <w:placeholder>
              <w:docPart w:val="15726F145807401EA97DD377A8C41441"/>
            </w:placeholder>
          </w:sdtPr>
          <w:sdtEndPr>
            <w:rPr>
              <w:b w:val="0"/>
              <w:sz w:val="18"/>
              <w:szCs w:val="18"/>
            </w:rPr>
          </w:sdtEndPr>
          <w:sdtContent>
            <w:p w14:paraId="47EC12BD" w14:textId="0686BB03" w:rsidR="008071D4" w:rsidRPr="00DC1E7C" w:rsidRDefault="008071D4" w:rsidP="008071D4">
              <w:pPr>
                <w:tabs>
                  <w:tab w:val="left" w:pos="4680"/>
                </w:tabs>
                <w:spacing w:after="0" w:line="264" w:lineRule="auto"/>
                <w:ind w:right="45"/>
                <w:jc w:val="center"/>
                <w:outlineLvl w:val="0"/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</w:pPr>
              <w:r w:rsidRPr="00DC1E7C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 xml:space="preserve">Wykaz </w:t>
              </w:r>
              <w:r w:rsidR="00DC1E7C" w:rsidRPr="00DC1E7C">
                <w:rPr>
                  <w:rFonts w:ascii="Arial" w:hAnsi="Arial" w:cs="Arial"/>
                  <w:b/>
                  <w:bCs/>
                  <w:sz w:val="16"/>
                  <w:szCs w:val="16"/>
                </w:rPr>
                <w:t>części nieruchomości położonej w Piotrkowie Trybunalskim przy ul. Modrzewskiego stanowiącej własność gminy Miasta Piotrków Trybunalski, przeznaczonych do wydzierżawienia na okres do 5 lat</w:t>
              </w:r>
            </w:p>
            <w:p w14:paraId="4697BCB8" w14:textId="77777777" w:rsidR="008071D4" w:rsidRPr="008071D4" w:rsidRDefault="008071D4" w:rsidP="008071D4">
              <w:pPr>
                <w:tabs>
                  <w:tab w:val="left" w:pos="4680"/>
                </w:tabs>
                <w:spacing w:after="0" w:line="264" w:lineRule="auto"/>
                <w:ind w:right="45"/>
                <w:jc w:val="center"/>
                <w:outlineLvl w:val="0"/>
                <w:rPr>
                  <w:rFonts w:ascii="Arial" w:eastAsia="Times New Roman" w:hAnsi="Arial" w:cs="Arial"/>
                  <w:b/>
                  <w:sz w:val="18"/>
                  <w:szCs w:val="18"/>
                  <w:lang w:eastAsia="pl-PL"/>
                </w:rPr>
              </w:pPr>
            </w:p>
            <w:p w14:paraId="462FB370" w14:textId="73C15154" w:rsidR="008071D4" w:rsidRPr="008071D4" w:rsidRDefault="008071D4" w:rsidP="008071D4">
              <w:pPr>
                <w:tabs>
                  <w:tab w:val="left" w:pos="4680"/>
                </w:tabs>
                <w:spacing w:after="0" w:line="264" w:lineRule="auto"/>
                <w:ind w:right="45"/>
                <w:jc w:val="both"/>
                <w:outlineLvl w:val="0"/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</w:pPr>
              <w:r w:rsidRPr="008071D4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Na podstawie art. 35 ust. 1 ustawy z dnia 21 sierpnia 1997 roku o gospodarce nieruchomościami (Dz. U. z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2026</w:t>
              </w:r>
              <w:r w:rsidRPr="008071D4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 r. poz. </w:t>
              </w:r>
              <w:r w:rsidR="00996B63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399</w:t>
              </w:r>
              <w:r w:rsidR="00C2722D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) </w:t>
              </w:r>
              <w:r w:rsidRPr="008071D4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Prezydent Miasta Piotrkowa Trybunalskiego podaje do publicznej wiadomości poniższy wykaz </w:t>
              </w:r>
              <w:r w:rsidR="00996B63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części </w:t>
              </w:r>
              <w:r w:rsidRPr="008071D4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nieruchomości przeznaczon</w:t>
              </w:r>
              <w:r w:rsidR="00996B63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ych</w:t>
              </w:r>
              <w:r w:rsidRPr="008071D4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 do oddania w dzierżawę.</w:t>
              </w:r>
            </w:p>
          </w:sdtContent>
        </w:sdt>
        <w:p w14:paraId="2F03AC4D" w14:textId="77777777" w:rsidR="008071D4" w:rsidRPr="008071D4" w:rsidRDefault="008071D4" w:rsidP="008071D4">
          <w:pPr>
            <w:tabs>
              <w:tab w:val="left" w:pos="4680"/>
            </w:tabs>
            <w:spacing w:after="0" w:line="264" w:lineRule="auto"/>
            <w:ind w:right="44"/>
            <w:outlineLvl w:val="0"/>
            <w:rPr>
              <w:rFonts w:ascii="Arial" w:eastAsia="Times New Roman" w:hAnsi="Arial" w:cs="Arial"/>
              <w:b/>
              <w:sz w:val="15"/>
              <w:szCs w:val="15"/>
              <w:lang w:eastAsia="pl-PL"/>
            </w:rPr>
          </w:pPr>
          <w:r w:rsidRPr="008071D4">
            <w:rPr>
              <w:rFonts w:ascii="Arial" w:eastAsia="Times New Roman" w:hAnsi="Arial" w:cs="Arial"/>
              <w:b/>
              <w:sz w:val="15"/>
              <w:szCs w:val="15"/>
              <w:lang w:eastAsia="pl-PL"/>
            </w:rPr>
            <w:t>1.</w:t>
          </w:r>
        </w:p>
        <w:tbl>
          <w:tblPr>
            <w:tblW w:w="5069" w:type="pct"/>
            <w:tblInd w:w="-29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426"/>
            <w:gridCol w:w="1276"/>
            <w:gridCol w:w="853"/>
            <w:gridCol w:w="851"/>
            <w:gridCol w:w="1273"/>
            <w:gridCol w:w="2271"/>
            <w:gridCol w:w="2127"/>
            <w:gridCol w:w="1273"/>
            <w:gridCol w:w="2129"/>
            <w:gridCol w:w="1698"/>
          </w:tblGrid>
          <w:tr w:rsidR="008071D4" w:rsidRPr="008071D4" w14:paraId="03E8DC87" w14:textId="77777777" w:rsidTr="008071D4">
            <w:trPr>
              <w:trHeight w:val="525"/>
            </w:trPr>
            <w:tc>
              <w:tcPr>
                <w:tcW w:w="150" w:type="pct"/>
                <w:vMerge w:val="restart"/>
                <w:shd w:val="clear" w:color="auto" w:fill="FFFFFF"/>
                <w:vAlign w:val="center"/>
              </w:tcPr>
              <w:p w14:paraId="3AF5CCE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b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b/>
                    <w:sz w:val="15"/>
                    <w:szCs w:val="15"/>
                    <w:lang w:eastAsia="pl-PL"/>
                  </w:rPr>
                  <w:t>L.p.</w:t>
                </w:r>
              </w:p>
            </w:tc>
            <w:tc>
              <w:tcPr>
                <w:tcW w:w="751" w:type="pct"/>
                <w:gridSpan w:val="2"/>
                <w:shd w:val="clear" w:color="auto" w:fill="FFFFFF"/>
                <w:vAlign w:val="center"/>
              </w:tcPr>
              <w:p w14:paraId="02C3A0D4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Oznaczenie nieruchomości</w:t>
                </w:r>
              </w:p>
            </w:tc>
            <w:tc>
              <w:tcPr>
                <w:tcW w:w="749" w:type="pct"/>
                <w:gridSpan w:val="2"/>
                <w:shd w:val="clear" w:color="auto" w:fill="FFFFFF"/>
                <w:vAlign w:val="center"/>
              </w:tcPr>
              <w:p w14:paraId="25FD9ABE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Powierzchnia</w:t>
                </w:r>
              </w:p>
            </w:tc>
            <w:tc>
              <w:tcPr>
                <w:tcW w:w="801" w:type="pct"/>
                <w:vMerge w:val="restart"/>
                <w:shd w:val="clear" w:color="auto" w:fill="FFFFFF"/>
                <w:vAlign w:val="center"/>
              </w:tcPr>
              <w:p w14:paraId="0D262792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Opis</w:t>
                </w:r>
              </w:p>
              <w:p w14:paraId="0BC8CD88" w14:textId="053799F6" w:rsidR="008071D4" w:rsidRPr="00073D17" w:rsidRDefault="007C3E0A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n</w:t>
                </w:r>
                <w:r w:rsidR="008071D4"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 xml:space="preserve">ieruchomości </w:t>
                </w:r>
                <w:r w:rsidR="008071D4"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br/>
                  <w:t>i sposób jej zagospodarowania</w:t>
                </w:r>
              </w:p>
              <w:p w14:paraId="31818471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cel dzierżawy</w:t>
                </w:r>
              </w:p>
            </w:tc>
            <w:tc>
              <w:tcPr>
                <w:tcW w:w="750" w:type="pct"/>
                <w:vMerge w:val="restart"/>
                <w:shd w:val="clear" w:color="auto" w:fill="FFFFFF"/>
                <w:vAlign w:val="center"/>
              </w:tcPr>
              <w:p w14:paraId="50C2B911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 xml:space="preserve">Przeznaczenie nieruchomości </w:t>
                </w:r>
              </w:p>
            </w:tc>
            <w:tc>
              <w:tcPr>
                <w:tcW w:w="449" w:type="pct"/>
                <w:vMerge w:val="restart"/>
                <w:shd w:val="clear" w:color="auto" w:fill="FFFFFF"/>
                <w:vAlign w:val="center"/>
              </w:tcPr>
              <w:p w14:paraId="5942AF18" w14:textId="77777777" w:rsidR="008071D4" w:rsidRPr="00073D17" w:rsidRDefault="008071D4" w:rsidP="008071D4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Termin zagospodaro-</w:t>
                </w:r>
              </w:p>
              <w:p w14:paraId="6E441777" w14:textId="77777777" w:rsidR="008071D4" w:rsidRPr="00073D17" w:rsidRDefault="008071D4" w:rsidP="008071D4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 xml:space="preserve">wania nieruchomości </w:t>
                </w:r>
              </w:p>
              <w:p w14:paraId="454511B6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okres dzierżawy</w:t>
                </w:r>
              </w:p>
            </w:tc>
            <w:tc>
              <w:tcPr>
                <w:tcW w:w="751" w:type="pct"/>
                <w:vMerge w:val="restart"/>
                <w:shd w:val="clear" w:color="auto" w:fill="FFFFFF"/>
                <w:vAlign w:val="center"/>
              </w:tcPr>
              <w:p w14:paraId="05C55919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 xml:space="preserve">Wysokość czynszu dzierżawnego </w:t>
                </w:r>
              </w:p>
            </w:tc>
            <w:tc>
              <w:tcPr>
                <w:tcW w:w="599" w:type="pct"/>
                <w:vMerge w:val="restart"/>
                <w:shd w:val="clear" w:color="auto" w:fill="FFFFFF"/>
                <w:vAlign w:val="center"/>
              </w:tcPr>
              <w:p w14:paraId="7EF7CFB9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Termin płatności czynszu dzierżawnego</w:t>
                </w:r>
              </w:p>
            </w:tc>
          </w:tr>
          <w:tr w:rsidR="008071D4" w:rsidRPr="008071D4" w14:paraId="13569F70" w14:textId="77777777" w:rsidTr="008071D4">
            <w:trPr>
              <w:trHeight w:val="181"/>
            </w:trPr>
            <w:tc>
              <w:tcPr>
                <w:tcW w:w="150" w:type="pct"/>
                <w:vMerge/>
                <w:shd w:val="clear" w:color="auto" w:fill="FFFFFF"/>
              </w:tcPr>
              <w:p w14:paraId="1760E550" w14:textId="77777777" w:rsidR="008071D4" w:rsidRPr="008071D4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450" w:type="pct"/>
                <w:shd w:val="clear" w:color="auto" w:fill="FFFFFF"/>
                <w:vAlign w:val="center"/>
              </w:tcPr>
              <w:p w14:paraId="7B49DF5D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Numer działki</w:t>
                </w:r>
              </w:p>
            </w:tc>
            <w:tc>
              <w:tcPr>
                <w:tcW w:w="301" w:type="pct"/>
                <w:shd w:val="clear" w:color="auto" w:fill="FFFFFF"/>
                <w:vAlign w:val="center"/>
              </w:tcPr>
              <w:p w14:paraId="5C0AE08E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Właściciel</w:t>
                </w:r>
              </w:p>
            </w:tc>
            <w:tc>
              <w:tcPr>
                <w:tcW w:w="300" w:type="pct"/>
                <w:shd w:val="clear" w:color="auto" w:fill="FFFFFF"/>
                <w:vAlign w:val="center"/>
              </w:tcPr>
              <w:p w14:paraId="28558579" w14:textId="77777777" w:rsidR="008071D4" w:rsidRPr="00073D17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Ogółem</w:t>
                </w:r>
              </w:p>
            </w:tc>
            <w:tc>
              <w:tcPr>
                <w:tcW w:w="449" w:type="pct"/>
                <w:shd w:val="clear" w:color="auto" w:fill="FFFFFF"/>
                <w:vAlign w:val="center"/>
              </w:tcPr>
              <w:p w14:paraId="73EE3D48" w14:textId="77777777" w:rsidR="008071D4" w:rsidRPr="00073D17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</w:pPr>
                <w:r w:rsidRPr="00073D17">
                  <w:rPr>
                    <w:rFonts w:ascii="Arial" w:eastAsia="Times New Roman" w:hAnsi="Arial" w:cs="Arial"/>
                    <w:b/>
                    <w:sz w:val="14"/>
                    <w:szCs w:val="14"/>
                    <w:lang w:eastAsia="pl-PL"/>
                  </w:rPr>
                  <w:t>Do dzierżawy</w:t>
                </w:r>
              </w:p>
            </w:tc>
            <w:tc>
              <w:tcPr>
                <w:tcW w:w="801" w:type="pct"/>
                <w:vMerge/>
                <w:shd w:val="clear" w:color="auto" w:fill="FFFFFF"/>
              </w:tcPr>
              <w:p w14:paraId="15B1FA8E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sz w:val="14"/>
                    <w:szCs w:val="14"/>
                    <w:lang w:eastAsia="pl-PL"/>
                  </w:rPr>
                </w:pP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67E5D5C0" w14:textId="77777777" w:rsidR="008071D4" w:rsidRPr="00073D17" w:rsidRDefault="008071D4" w:rsidP="008071D4">
                <w:pPr>
                  <w:spacing w:after="0" w:line="264" w:lineRule="auto"/>
                  <w:jc w:val="center"/>
                  <w:rPr>
                    <w:rFonts w:ascii="Arial Narrow" w:eastAsia="Times New Roman" w:hAnsi="Arial Narrow" w:cs="Arial"/>
                    <w:sz w:val="14"/>
                    <w:szCs w:val="14"/>
                    <w:lang w:eastAsia="pl-PL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7746217B" w14:textId="77777777" w:rsidR="008071D4" w:rsidRPr="00073D17" w:rsidRDefault="008071D4" w:rsidP="008071D4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4"/>
                    <w:szCs w:val="14"/>
                    <w:lang w:eastAsia="pl-PL"/>
                  </w:rPr>
                </w:pPr>
              </w:p>
            </w:tc>
            <w:tc>
              <w:tcPr>
                <w:tcW w:w="751" w:type="pct"/>
                <w:vMerge/>
                <w:shd w:val="clear" w:color="auto" w:fill="FFFFFF"/>
              </w:tcPr>
              <w:p w14:paraId="587F59C1" w14:textId="77777777" w:rsidR="008071D4" w:rsidRPr="00073D17" w:rsidRDefault="008071D4" w:rsidP="008071D4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4"/>
                    <w:szCs w:val="14"/>
                    <w:lang w:eastAsia="pl-PL"/>
                  </w:rPr>
                </w:pP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28A31483" w14:textId="77777777" w:rsidR="008071D4" w:rsidRPr="00073D17" w:rsidRDefault="008071D4" w:rsidP="008071D4">
                <w:pPr>
                  <w:spacing w:after="0" w:line="264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14"/>
                    <w:szCs w:val="14"/>
                    <w:lang w:eastAsia="pl-PL"/>
                  </w:rPr>
                </w:pPr>
              </w:p>
            </w:tc>
          </w:tr>
          <w:tr w:rsidR="008071D4" w:rsidRPr="008071D4" w14:paraId="430C7EE6" w14:textId="77777777" w:rsidTr="008071D4">
            <w:trPr>
              <w:trHeight w:val="277"/>
            </w:trPr>
            <w:tc>
              <w:tcPr>
                <w:tcW w:w="150" w:type="pct"/>
                <w:shd w:val="clear" w:color="auto" w:fill="FFFFFF"/>
              </w:tcPr>
              <w:p w14:paraId="19E470EE" w14:textId="1F896DCA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1.</w:t>
                </w:r>
              </w:p>
            </w:tc>
            <w:tc>
              <w:tcPr>
                <w:tcW w:w="450" w:type="pct"/>
                <w:vMerge w:val="restart"/>
                <w:shd w:val="clear" w:color="auto" w:fill="FFFFFF"/>
              </w:tcPr>
              <w:p w14:paraId="6BCD2251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315/85</w:t>
                </w:r>
              </w:p>
              <w:p w14:paraId="37AA5EAF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obręb 24</w:t>
                </w:r>
              </w:p>
              <w:p w14:paraId="1DFF30B9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  <w:p w14:paraId="61FCF82E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4"/>
                    <w:szCs w:val="14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4"/>
                    <w:szCs w:val="14"/>
                    <w:lang w:eastAsia="pl-PL"/>
                  </w:rPr>
                  <w:t xml:space="preserve">ul.Modrzewskiego </w:t>
                </w:r>
              </w:p>
              <w:p w14:paraId="40C9E7C9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  <w:p w14:paraId="1CCDD327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dla nieruchomości jest urządzona księga wieczysta</w:t>
                </w:r>
              </w:p>
            </w:tc>
            <w:tc>
              <w:tcPr>
                <w:tcW w:w="301" w:type="pct"/>
                <w:vMerge w:val="restart"/>
                <w:shd w:val="clear" w:color="auto" w:fill="FFFFFF"/>
              </w:tcPr>
              <w:p w14:paraId="1F2A3D7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Gmina Miasto Piotrków</w:t>
                </w:r>
              </w:p>
              <w:p w14:paraId="3283A2F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Trybunalski</w:t>
                </w:r>
              </w:p>
              <w:p w14:paraId="7F10B1A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 w:val="restart"/>
                <w:shd w:val="clear" w:color="auto" w:fill="FFFFFF"/>
              </w:tcPr>
              <w:p w14:paraId="3E7D3E06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i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0,</w:t>
                </w:r>
                <w:r w:rsidRPr="008071D4">
                  <w:rPr>
                    <w:rFonts w:ascii="Arial" w:hAnsi="Arial" w:cs="Arial"/>
                    <w:sz w:val="15"/>
                    <w:szCs w:val="15"/>
                  </w:rPr>
                  <w:t>5133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 xml:space="preserve"> ha</w:t>
                </w:r>
              </w:p>
            </w:tc>
            <w:tc>
              <w:tcPr>
                <w:tcW w:w="449" w:type="pct"/>
                <w:shd w:val="clear" w:color="auto" w:fill="FFFFFF"/>
              </w:tcPr>
              <w:p w14:paraId="65C12F8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3F49A649" w14:textId="341095F8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i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shd w:val="clear" w:color="auto" w:fill="FFFFFF"/>
              </w:tcPr>
              <w:p w14:paraId="077D209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1 i 2</w:t>
                </w:r>
              </w:p>
              <w:p w14:paraId="665884D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 w:val="restart"/>
                <w:shd w:val="clear" w:color="auto" w:fill="FFFFFF"/>
              </w:tcPr>
              <w:p w14:paraId="6CEE1914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  <w:r w:rsidRPr="008071D4">
                  <w:rPr>
                    <w:rFonts w:ascii="Arial" w:eastAsia="Calibri" w:hAnsi="Arial" w:cs="Arial"/>
                    <w:sz w:val="15"/>
                    <w:szCs w:val="15"/>
                  </w:rPr>
                  <w:t>Nieruchomość nie jest objęta miejscowym planem zagospodarowania przestrzennego, zgodnie ze Studium Uwarunkowań i Kierunków Zagospodarowania Miasta Piotrkowa Trybunalskiego- U/Z (usługi z dużym udziałem zieleni).</w:t>
                </w:r>
              </w:p>
            </w:tc>
            <w:tc>
              <w:tcPr>
                <w:tcW w:w="449" w:type="pct"/>
                <w:vMerge w:val="restart"/>
                <w:shd w:val="clear" w:color="auto" w:fill="FFFFFF"/>
              </w:tcPr>
              <w:p w14:paraId="05450BB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do 5 lat</w:t>
                </w:r>
              </w:p>
            </w:tc>
            <w:tc>
              <w:tcPr>
                <w:tcW w:w="751" w:type="pct"/>
                <w:shd w:val="clear" w:color="auto" w:fill="FFFFFF"/>
              </w:tcPr>
              <w:p w14:paraId="44DEC08C" w14:textId="590688B8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 w:val="restart"/>
                <w:shd w:val="clear" w:color="auto" w:fill="FFFFFF"/>
              </w:tcPr>
              <w:p w14:paraId="308D91A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  <w:t>miesięcznie z góry do 10 dnia  każdego miesiąca kalendarzowego</w:t>
                </w:r>
              </w:p>
              <w:p w14:paraId="42188E0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37D1F41E" w14:textId="77777777" w:rsidTr="008071D4">
            <w:trPr>
              <w:trHeight w:val="434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2DC3BB4" w14:textId="6778EAA5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2.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35EB5B8E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2124376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056DEB3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7A477895" w14:textId="767F4298" w:rsidR="008071D4" w:rsidRPr="007C3E0A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2E9F00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3 i 4</w:t>
                </w:r>
              </w:p>
              <w:p w14:paraId="03A9243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0ADF2142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2D0B9B3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14DAC2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0BD2FA1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2633E340" w14:textId="77777777" w:rsidTr="008071D4">
            <w:trPr>
              <w:trHeight w:val="406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0E519F9" w14:textId="78D4E220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3.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50225579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5035F20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4091CB2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342C941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2D3A94F8" w14:textId="1871C96F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B71BAAC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5 i 6</w:t>
                </w:r>
              </w:p>
              <w:p w14:paraId="1513246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1A67C3E2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19D2676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7D4C98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79434ED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DC1E7C" w:rsidRPr="008071D4" w14:paraId="43E5C6FE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FA1C5A0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4.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6C274784" w14:textId="77777777" w:rsidR="00DC1E7C" w:rsidRPr="008071D4" w:rsidRDefault="00DC1E7C" w:rsidP="00DC1E7C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39EF7C3A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337D9EDA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7543EC9B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49D8E73A" w14:textId="7BF33C33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12B6BB9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7 i 8</w:t>
                </w:r>
              </w:p>
              <w:p w14:paraId="19D04EE8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brak działalności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676FE4AF" w14:textId="77777777" w:rsidR="00DC1E7C" w:rsidRPr="008071D4" w:rsidRDefault="00DC1E7C" w:rsidP="00DC1E7C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4AA4F593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56DE6BD" w14:textId="46E95D04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34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,80 zł +23%VAT,łącznie: 42,80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5439AE6F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5F7B9965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10FE2F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5.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39836F75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02579EC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7673899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497165E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1E5E505E" w14:textId="3D595BD3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33DE1A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9 i 10</w:t>
                </w:r>
              </w:p>
              <w:p w14:paraId="180632F6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40DDCDCD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182D016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119C5EC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36EDE51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1F0D0CC1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3B8AE4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6.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7F03AE6A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4B470EA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000AA13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32D6C44C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743555E0" w14:textId="0A99BB3B" w:rsidR="008071D4" w:rsidRPr="008071D4" w:rsidRDefault="008071D4" w:rsidP="007C3E0A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D2C57A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11 i 12</w:t>
                </w:r>
              </w:p>
              <w:p w14:paraId="692C77D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69FF4854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01869FB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4A9600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10D6E49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3F2A1CBD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52AEFC4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7.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1E11F04D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313C7F5C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78EEA78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769E3F0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2FE5174F" w14:textId="5609BF10" w:rsidR="008071D4" w:rsidRPr="008071D4" w:rsidRDefault="008071D4" w:rsidP="007C3E0A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02BBFFD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13 i 14</w:t>
                </w:r>
              </w:p>
              <w:p w14:paraId="015312FC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brak działalności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6B0BF748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451A7CA9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42D41A1" w14:textId="583C8630" w:rsidR="008071D4" w:rsidRPr="008071D4" w:rsidRDefault="00DC1E7C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34</w:t>
                </w:r>
                <w:r w:rsidR="008071D4"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,80 zł +23%VAT,łącznie: 42,80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773B75F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43EF1A08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4D9D508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8.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272845E2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4F0DB0F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5B4AC09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5DCBE21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71AD2F6B" w14:textId="13CDD0B8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1C011C6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15 i 16</w:t>
                </w:r>
              </w:p>
              <w:p w14:paraId="71AA562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2EB7263A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43424AD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13D4CA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07B19D6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6BEFDA83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46C67A8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9.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47583E4D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1F5AE9F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7DCE61F9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719184F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76A6ED24" w14:textId="2758DBA1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7CE4703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19 i 20</w:t>
                </w:r>
              </w:p>
              <w:p w14:paraId="62B0FA3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3A7BF7E8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40E256A6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4622F03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4565C2D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332D330C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B9EC6D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10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453E9AF1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0DCAE6F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3C0C772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454363E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455BE411" w14:textId="7C23171A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7149298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21 i 22</w:t>
                </w:r>
              </w:p>
              <w:p w14:paraId="1ECB199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70A10E37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6DAB50C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04806B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46367B8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3F848A52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80C20C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11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3451A4AB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3B27071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6346F3E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3409131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5B2DDEC0" w14:textId="33A67545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09C7489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23 i 24</w:t>
                </w:r>
              </w:p>
              <w:p w14:paraId="3D387E5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3B54370F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28D117A9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788586B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358EBA0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07A14E89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5ABB407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12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5CA4AC15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346A8AD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765CC1C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5F81E1A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7,5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14BB9EAA" w14:textId="7393B526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7CC29A0C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pawilonem nr 25</w:t>
                </w:r>
              </w:p>
              <w:p w14:paraId="509CCAB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2A19171C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1F985E19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35E9F2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88,35 zł +23%VAT,łącznie: 108,67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500C6C3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2FBDF2BE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524E803C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lastRenderedPageBreak/>
                  <w:t>13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289A6CEB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4751352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11712BC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3DAA435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7,5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47E75C91" w14:textId="78B98E24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11D7045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pawilonem nr 26</w:t>
                </w:r>
              </w:p>
              <w:p w14:paraId="00CE3309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brak działalności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018880F1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6CC7588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69BC9C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17,40 zł +23%VAT,łącznie: 21,40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1198D8B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6EC26AA3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51620D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14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5CF6AC53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7E3DCC4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23D2E81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3D7A9A56" w14:textId="54AF8DA1" w:rsidR="008071D4" w:rsidRPr="007C3E0A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37FA3F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27 i 28</w:t>
                </w:r>
              </w:p>
              <w:p w14:paraId="72C31D7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424D4D8B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2AA4B11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0B2A0F1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6792332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247270EC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381E3E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19100189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1617B399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2651AB5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574FC6D7" w14:textId="1418C51E" w:rsidR="008071D4" w:rsidRPr="007C3E0A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A8C04D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29 i 30</w:t>
                </w:r>
              </w:p>
              <w:p w14:paraId="58A1902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49250EC6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2DB4A88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06B1504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5B609CF6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679CF2F9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5562C24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16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48C3447A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0626E8B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1DBB947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403C8CF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6DF824AF" w14:textId="75C17EB4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3A448AE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31 i 32</w:t>
                </w:r>
              </w:p>
              <w:p w14:paraId="308525D6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7F09486C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222C549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19B5FA5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75520BD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5167FF45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0B22196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3634F07D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27FAB91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589C4EDF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7F8AA9D5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7,5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05A25502" w14:textId="0DEA1638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FA3CE5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pawilonem nr 35</w:t>
                </w:r>
              </w:p>
              <w:p w14:paraId="0A2EFA2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brak działalności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473F8641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6B0E4E84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1EE7152B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17,40 zł +23%VAT,łącznie: 21,40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2223C5CD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58ED97EC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1DB8E3F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18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590D6147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7159BAA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1A59AA8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7CEFB03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12483082" w14:textId="0C95EF0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7679AEE2" w14:textId="4E67A00C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 xml:space="preserve">pod pawilonami nr </w:t>
                </w:r>
                <w:r w:rsidR="00DC1E7C"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36</w:t>
                </w:r>
                <w:r w:rsidR="00DC1E7C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 xml:space="preserve"> i 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37</w:t>
                </w:r>
              </w:p>
              <w:p w14:paraId="35371521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handel/usługi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1D3264BD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314F60A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4D3BD723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176,70 zł +23%VAT,łącznie: 217,34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0BB925D8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DC1E7C" w:rsidRPr="008071D4" w14:paraId="7760F8EB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2DEA2B60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19</w:t>
                </w:r>
              </w:p>
            </w:tc>
            <w:tc>
              <w:tcPr>
                <w:tcW w:w="450" w:type="pct"/>
                <w:vMerge/>
                <w:shd w:val="clear" w:color="auto" w:fill="FFFFFF"/>
              </w:tcPr>
              <w:p w14:paraId="0B8ED845" w14:textId="77777777" w:rsidR="00DC1E7C" w:rsidRPr="008071D4" w:rsidRDefault="00DC1E7C" w:rsidP="00DC1E7C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shd w:val="clear" w:color="auto" w:fill="FFFFFF"/>
              </w:tcPr>
              <w:p w14:paraId="020B931B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shd w:val="clear" w:color="auto" w:fill="FFFFFF"/>
              </w:tcPr>
              <w:p w14:paraId="11172397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73D24F9F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  <w:p w14:paraId="3FBD14DA" w14:textId="73624FF8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53D5B421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pawilonami nr 38 i 39</w:t>
                </w:r>
              </w:p>
              <w:p w14:paraId="486C3406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brak działalności</w:t>
                </w:r>
              </w:p>
            </w:tc>
            <w:tc>
              <w:tcPr>
                <w:tcW w:w="750" w:type="pct"/>
                <w:vMerge/>
                <w:shd w:val="clear" w:color="auto" w:fill="FFFFFF"/>
              </w:tcPr>
              <w:p w14:paraId="7A14A271" w14:textId="77777777" w:rsidR="00DC1E7C" w:rsidRPr="008071D4" w:rsidRDefault="00DC1E7C" w:rsidP="00DC1E7C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shd w:val="clear" w:color="auto" w:fill="FFFFFF"/>
              </w:tcPr>
              <w:p w14:paraId="04A8C835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5A15562B" w14:textId="5FD58FCE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34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,80 zł +23%VAT,łącznie: 42,80 zł brutto</w:t>
                </w:r>
              </w:p>
            </w:tc>
            <w:tc>
              <w:tcPr>
                <w:tcW w:w="599" w:type="pct"/>
                <w:vMerge/>
                <w:shd w:val="clear" w:color="auto" w:fill="FFFFFF"/>
              </w:tcPr>
              <w:p w14:paraId="7F97A34F" w14:textId="77777777" w:rsidR="00DC1E7C" w:rsidRPr="008071D4" w:rsidRDefault="00DC1E7C" w:rsidP="00DC1E7C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  <w:tr w:rsidR="008071D4" w:rsidRPr="008071D4" w14:paraId="3903C4DD" w14:textId="77777777" w:rsidTr="008071D4">
            <w:trPr>
              <w:trHeight w:val="315"/>
            </w:trPr>
            <w:tc>
              <w:tcPr>
                <w:tcW w:w="15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5E3A4CE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20</w:t>
                </w:r>
              </w:p>
            </w:tc>
            <w:tc>
              <w:tcPr>
                <w:tcW w:w="450" w:type="pct"/>
                <w:vMerge/>
                <w:tcBorders>
                  <w:bottom w:val="single" w:sz="8" w:space="0" w:color="auto"/>
                </w:tcBorders>
                <w:shd w:val="clear" w:color="auto" w:fill="FFFFFF"/>
              </w:tcPr>
              <w:p w14:paraId="7DA410CD" w14:textId="77777777" w:rsidR="008071D4" w:rsidRPr="008071D4" w:rsidRDefault="008071D4" w:rsidP="008071D4">
                <w:pPr>
                  <w:spacing w:after="0" w:line="264" w:lineRule="auto"/>
                  <w:ind w:hanging="3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1" w:type="pct"/>
                <w:vMerge/>
                <w:tcBorders>
                  <w:bottom w:val="single" w:sz="8" w:space="0" w:color="auto"/>
                </w:tcBorders>
                <w:shd w:val="clear" w:color="auto" w:fill="FFFFFF"/>
              </w:tcPr>
              <w:p w14:paraId="1A258A1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300" w:type="pct"/>
                <w:vMerge/>
                <w:tcBorders>
                  <w:bottom w:val="single" w:sz="8" w:space="0" w:color="auto"/>
                </w:tcBorders>
                <w:shd w:val="clear" w:color="auto" w:fill="FFFFFF"/>
              </w:tcPr>
              <w:p w14:paraId="2D2FC437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449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</w:tcPr>
              <w:p w14:paraId="097DD69E" w14:textId="64FE69DD" w:rsidR="008071D4" w:rsidRPr="007C3E0A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7,5 m</w:t>
                </w: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vertAlign w:val="superscript"/>
                    <w:lang w:eastAsia="pl-PL"/>
                  </w:rPr>
                  <w:t xml:space="preserve">2 </w:t>
                </w:r>
              </w:p>
            </w:tc>
            <w:tc>
              <w:tcPr>
                <w:tcW w:w="801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3B9F1B5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pod pawilonem nr 40</w:t>
                </w:r>
              </w:p>
              <w:p w14:paraId="61E92F20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brak działalności</w:t>
                </w:r>
              </w:p>
            </w:tc>
            <w:tc>
              <w:tcPr>
                <w:tcW w:w="750" w:type="pct"/>
                <w:vMerge/>
                <w:tcBorders>
                  <w:bottom w:val="single" w:sz="8" w:space="0" w:color="auto"/>
                </w:tcBorders>
                <w:shd w:val="clear" w:color="auto" w:fill="FFFFFF"/>
              </w:tcPr>
              <w:p w14:paraId="49C1B9E3" w14:textId="77777777" w:rsidR="008071D4" w:rsidRPr="008071D4" w:rsidRDefault="008071D4" w:rsidP="008071D4">
                <w:pPr>
                  <w:spacing w:line="288" w:lineRule="auto"/>
                  <w:ind w:left="38" w:firstLine="25"/>
                  <w:rPr>
                    <w:rFonts w:ascii="Arial" w:eastAsia="Calibri" w:hAnsi="Arial" w:cs="Arial"/>
                    <w:sz w:val="15"/>
                    <w:szCs w:val="15"/>
                  </w:rPr>
                </w:pPr>
              </w:p>
            </w:tc>
            <w:tc>
              <w:tcPr>
                <w:tcW w:w="449" w:type="pct"/>
                <w:vMerge/>
                <w:tcBorders>
                  <w:bottom w:val="single" w:sz="8" w:space="0" w:color="auto"/>
                </w:tcBorders>
                <w:shd w:val="clear" w:color="auto" w:fill="FFFFFF"/>
              </w:tcPr>
              <w:p w14:paraId="28051C72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</w:p>
            </w:tc>
            <w:tc>
              <w:tcPr>
                <w:tcW w:w="751" w:type="pct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/>
              </w:tcPr>
              <w:p w14:paraId="6721193A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</w:pPr>
                <w:r w:rsidRPr="008071D4">
                  <w:rPr>
                    <w:rFonts w:ascii="Arial" w:eastAsia="Times New Roman" w:hAnsi="Arial" w:cs="Arial"/>
                    <w:sz w:val="15"/>
                    <w:szCs w:val="15"/>
                    <w:lang w:eastAsia="pl-PL"/>
                  </w:rPr>
                  <w:t>17,40 zł +23%VAT,łącznie: 21,40 zł brutto</w:t>
                </w:r>
              </w:p>
            </w:tc>
            <w:tc>
              <w:tcPr>
                <w:tcW w:w="599" w:type="pct"/>
                <w:vMerge/>
                <w:tcBorders>
                  <w:bottom w:val="single" w:sz="8" w:space="0" w:color="auto"/>
                </w:tcBorders>
                <w:shd w:val="clear" w:color="auto" w:fill="FFFFFF"/>
              </w:tcPr>
              <w:p w14:paraId="7BD1C1C6" w14:textId="77777777" w:rsidR="008071D4" w:rsidRPr="008071D4" w:rsidRDefault="008071D4" w:rsidP="008071D4">
                <w:pPr>
                  <w:spacing w:after="0" w:line="264" w:lineRule="auto"/>
                  <w:rPr>
                    <w:rFonts w:ascii="Arial" w:eastAsia="Times New Roman" w:hAnsi="Arial" w:cs="Arial"/>
                    <w:color w:val="000000"/>
                    <w:sz w:val="15"/>
                    <w:szCs w:val="15"/>
                    <w:lang w:eastAsia="pl-PL"/>
                  </w:rPr>
                </w:pPr>
              </w:p>
            </w:tc>
          </w:tr>
        </w:tbl>
        <w:p w14:paraId="60A4168B" w14:textId="77777777" w:rsidR="008071D4" w:rsidRPr="008071D4" w:rsidRDefault="008071D4" w:rsidP="008071D4">
          <w:pPr>
            <w:spacing w:after="0" w:line="264" w:lineRule="auto"/>
            <w:jc w:val="both"/>
            <w:rPr>
              <w:rFonts w:ascii="Arial Narrow" w:eastAsia="Times New Roman" w:hAnsi="Arial Narrow" w:cs="Arial"/>
              <w:b/>
              <w:sz w:val="18"/>
              <w:szCs w:val="18"/>
              <w:lang w:eastAsia="pl-PL"/>
            </w:rPr>
          </w:pPr>
        </w:p>
        <w:p w14:paraId="1201BE8C" w14:textId="3B2C2F44" w:rsidR="008071D4" w:rsidRPr="008071D4" w:rsidRDefault="008071D4" w:rsidP="008071D4">
          <w:pPr>
            <w:spacing w:after="0" w:line="264" w:lineRule="auto"/>
            <w:jc w:val="both"/>
            <w:rPr>
              <w:rFonts w:ascii="Arial Narrow" w:eastAsia="Times New Roman" w:hAnsi="Arial Narrow" w:cs="Arial"/>
              <w:sz w:val="18"/>
              <w:szCs w:val="18"/>
              <w:lang w:eastAsia="pl-PL"/>
            </w:rPr>
          </w:pPr>
          <w:r w:rsidRPr="008071D4">
            <w:rPr>
              <w:rFonts w:ascii="Arial Narrow" w:eastAsia="Times New Roman" w:hAnsi="Arial Narrow" w:cs="Arial"/>
              <w:b/>
              <w:sz w:val="18"/>
              <w:szCs w:val="18"/>
              <w:lang w:eastAsia="pl-PL"/>
            </w:rPr>
            <w:t>2</w:t>
          </w:r>
          <w:r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. Gdy w pawilonach, gdzie obecnie nie jest prowadzona działalność gospodarcza, zostanie ona podjęta, czynsz dzierżawny będzie naliczany </w:t>
          </w:r>
          <w:r w:rsidR="007C3E0A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- </w:t>
          </w:r>
          <w:r w:rsidR="007C3E0A"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>od dnia rozpoczęcia prowadzenia działalności</w:t>
          </w:r>
          <w:r w:rsidR="007C3E0A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 -</w:t>
          </w:r>
          <w:r w:rsidR="007C3E0A"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 </w:t>
          </w:r>
          <w:r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>zgodnie z obowiązującym czynszem dla gruntu pod pawilonami gd</w:t>
          </w:r>
          <w:r w:rsidR="007C3E0A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>zie działalność jest prowadzona.</w:t>
          </w:r>
        </w:p>
        <w:p w14:paraId="67F7B17C" w14:textId="77777777" w:rsidR="008071D4" w:rsidRPr="008071D4" w:rsidRDefault="008071D4" w:rsidP="008071D4">
          <w:pPr>
            <w:spacing w:after="0" w:line="264" w:lineRule="auto"/>
            <w:jc w:val="both"/>
            <w:rPr>
              <w:rFonts w:ascii="Arial Narrow" w:eastAsia="Times New Roman" w:hAnsi="Arial Narrow" w:cs="Arial"/>
              <w:sz w:val="18"/>
              <w:szCs w:val="18"/>
              <w:lang w:eastAsia="pl-PL"/>
            </w:rPr>
          </w:pPr>
          <w:r w:rsidRPr="008071D4">
            <w:rPr>
              <w:rFonts w:ascii="Arial Narrow" w:eastAsia="Times New Roman" w:hAnsi="Arial Narrow" w:cs="Arial"/>
              <w:b/>
              <w:sz w:val="18"/>
              <w:szCs w:val="18"/>
              <w:lang w:eastAsia="pl-PL"/>
            </w:rPr>
            <w:t>3.</w:t>
          </w:r>
          <w:r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2460DDD5" w14:textId="77777777" w:rsidR="008071D4" w:rsidRPr="008071D4" w:rsidRDefault="008071D4" w:rsidP="008071D4">
          <w:pPr>
            <w:shd w:val="clear" w:color="auto" w:fill="FFFFFF"/>
            <w:tabs>
              <w:tab w:val="left" w:pos="284"/>
            </w:tabs>
            <w:spacing w:after="0" w:line="264" w:lineRule="auto"/>
            <w:jc w:val="both"/>
            <w:rPr>
              <w:rFonts w:ascii="Arial Narrow" w:eastAsia="Times New Roman" w:hAnsi="Arial Narrow" w:cs="Arial"/>
              <w:sz w:val="18"/>
              <w:szCs w:val="18"/>
              <w:lang w:eastAsia="pl-PL"/>
            </w:rPr>
          </w:pPr>
          <w:r w:rsidRPr="008071D4">
            <w:rPr>
              <w:rFonts w:ascii="Arial Narrow" w:eastAsia="Times New Roman" w:hAnsi="Arial Narrow" w:cs="Arial"/>
              <w:b/>
              <w:sz w:val="18"/>
              <w:szCs w:val="18"/>
              <w:lang w:eastAsia="pl-PL"/>
            </w:rPr>
            <w:t>4.</w:t>
          </w:r>
          <w:r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 </w:t>
          </w:r>
          <w:r w:rsidRPr="008071D4">
            <w:rPr>
              <w:rFonts w:ascii="Arial Narrow" w:eastAsia="MS Mincho" w:hAnsi="Arial Narrow" w:cs="Arial"/>
              <w:sz w:val="18"/>
              <w:szCs w:val="18"/>
              <w:lang w:eastAsia="pl-PL"/>
            </w:rPr>
            <w:t xml:space="preserve">Wykaz nieruchomości przeznaczonych do wydzierżawienia podaje się do publicznej wiadomości poprzez: wywieszenie na okres 21 dni na tablicach ogłoszeń w siedzibie Urzędu Miasta Piotrkowa Trybunalskiego Pasaż Karola Rudowskiego 10 i ul. Szkolna 28, tj. od dnia …………………… do dnia ……………….. zamieszczenie na stronie internetowej </w:t>
          </w:r>
          <w:r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8071D4">
            <w:rPr>
              <w:rFonts w:ascii="Arial Narrow" w:eastAsia="MS Mincho" w:hAnsi="Arial Narrow" w:cs="Arial"/>
              <w:sz w:val="18"/>
              <w:szCs w:val="18"/>
              <w:lang w:eastAsia="pl-PL"/>
            </w:rPr>
            <w:t xml:space="preserve">podanie informacji o zamieszczeniu wykazu w prasie lokalnej </w:t>
          </w:r>
          <w:r w:rsidRPr="008071D4">
            <w:rPr>
              <w:rFonts w:ascii="Arial Narrow" w:eastAsia="Times New Roman" w:hAnsi="Arial Narrow" w:cs="Arial"/>
              <w:sz w:val="18"/>
              <w:szCs w:val="18"/>
              <w:lang w:eastAsia="pl-PL"/>
            </w:rPr>
            <w:t>o zasięgu obejmującym co najmniej powiat, na terenie którego położone są nieruchomości.</w:t>
          </w:r>
        </w:p>
        <w:p w14:paraId="6A310CCB" w14:textId="62B1EA88" w:rsidR="00F22A10" w:rsidRDefault="009C1E2E">
          <w:pPr>
            <w:rPr>
              <w:sz w:val="28"/>
              <w:szCs w:val="28"/>
            </w:rPr>
          </w:pPr>
        </w:p>
      </w:sdtContent>
    </w:sdt>
    <w:sectPr w:rsidR="00F22A10" w:rsidSect="008071D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721D3" w14:textId="77777777" w:rsidR="00205E5F" w:rsidRDefault="00205E5F" w:rsidP="00F22A10">
      <w:pPr>
        <w:spacing w:after="0" w:line="240" w:lineRule="auto"/>
      </w:pPr>
      <w:r>
        <w:separator/>
      </w:r>
    </w:p>
  </w:endnote>
  <w:endnote w:type="continuationSeparator" w:id="0">
    <w:p w14:paraId="56367BF2" w14:textId="77777777" w:rsidR="00205E5F" w:rsidRDefault="00205E5F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7DBC4" w14:textId="77777777" w:rsidR="00205E5F" w:rsidRDefault="00205E5F" w:rsidP="00F22A10">
      <w:pPr>
        <w:spacing w:after="0" w:line="240" w:lineRule="auto"/>
      </w:pPr>
      <w:r>
        <w:separator/>
      </w:r>
    </w:p>
  </w:footnote>
  <w:footnote w:type="continuationSeparator" w:id="0">
    <w:p w14:paraId="086F04A9" w14:textId="77777777" w:rsidR="00205E5F" w:rsidRDefault="00205E5F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0F6609B-6FBE-4FA1-B4CA-30D91D01E9E5}"/>
  </w:docVars>
  <w:rsids>
    <w:rsidRoot w:val="005014BA"/>
    <w:rsid w:val="000503D4"/>
    <w:rsid w:val="00073D17"/>
    <w:rsid w:val="000D5A64"/>
    <w:rsid w:val="00144995"/>
    <w:rsid w:val="00173512"/>
    <w:rsid w:val="00205E5F"/>
    <w:rsid w:val="00212A55"/>
    <w:rsid w:val="00331E82"/>
    <w:rsid w:val="003D3A2D"/>
    <w:rsid w:val="00400DF9"/>
    <w:rsid w:val="00462311"/>
    <w:rsid w:val="005014BA"/>
    <w:rsid w:val="005D6587"/>
    <w:rsid w:val="006144DC"/>
    <w:rsid w:val="0065513C"/>
    <w:rsid w:val="006C5055"/>
    <w:rsid w:val="006D30FF"/>
    <w:rsid w:val="007C3E0A"/>
    <w:rsid w:val="008071D4"/>
    <w:rsid w:val="00996B63"/>
    <w:rsid w:val="009C1E2E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2722D"/>
    <w:rsid w:val="00C83C92"/>
    <w:rsid w:val="00CE0ED0"/>
    <w:rsid w:val="00D22FDB"/>
    <w:rsid w:val="00D5303E"/>
    <w:rsid w:val="00DB22E2"/>
    <w:rsid w:val="00DC1E7C"/>
    <w:rsid w:val="00E41FC9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D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15726F145807401EA97DD377A8C41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C12A7-E31E-4F3A-A7AB-416BDD29B18C}"/>
      </w:docPartPr>
      <w:docPartBody>
        <w:p w:rsidR="006F6FE3" w:rsidRDefault="00944F17" w:rsidP="00944F17">
          <w:pPr>
            <w:pStyle w:val="15726F145807401EA97DD377A8C4144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140309"/>
    <w:rsid w:val="001F6B4B"/>
    <w:rsid w:val="00287FFB"/>
    <w:rsid w:val="003D7625"/>
    <w:rsid w:val="0044787E"/>
    <w:rsid w:val="00611988"/>
    <w:rsid w:val="006C177D"/>
    <w:rsid w:val="006F6FE3"/>
    <w:rsid w:val="0094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4F17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15726F145807401EA97DD377A8C41441">
    <w:name w:val="15726F145807401EA97DD377A8C41441"/>
    <w:rsid w:val="00944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609B-6FBE-4FA1-B4CA-30D91D01E9E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01E62A-85B0-4742-954F-44EB90B9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Pawełczyk Katarzyna</cp:lastModifiedBy>
  <cp:revision>13</cp:revision>
  <cp:lastPrinted>2021-09-29T12:54:00Z</cp:lastPrinted>
  <dcterms:created xsi:type="dcterms:W3CDTF">2021-10-05T10:04:00Z</dcterms:created>
  <dcterms:modified xsi:type="dcterms:W3CDTF">2026-05-15T07:58:00Z</dcterms:modified>
</cp:coreProperties>
</file>